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AC" w:rsidRDefault="001A67A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fldChar w:fldCharType="begin"/>
      </w:r>
      <w:r>
        <w:rPr>
          <w:rFonts w:ascii="Arial" w:hAnsi="Arial" w:cs="Arial"/>
          <w:color w:val="000000"/>
          <w:sz w:val="36"/>
          <w:szCs w:val="36"/>
        </w:rPr>
        <w:instrText xml:space="preserve"> HYPERLINK "</w:instrText>
      </w:r>
      <w:r w:rsidRPr="001A67AC">
        <w:rPr>
          <w:rFonts w:ascii="Arial" w:hAnsi="Arial" w:cs="Arial"/>
          <w:color w:val="000000"/>
          <w:sz w:val="36"/>
          <w:szCs w:val="36"/>
        </w:rPr>
        <w:instrText>http://www.devinfo.info/mdginfo2011/</w:instrText>
      </w:r>
      <w:r>
        <w:rPr>
          <w:rFonts w:ascii="Arial" w:hAnsi="Arial" w:cs="Arial"/>
          <w:color w:val="000000"/>
          <w:sz w:val="36"/>
          <w:szCs w:val="36"/>
        </w:rPr>
        <w:instrText xml:space="preserve">" </w:instrText>
      </w:r>
      <w:r>
        <w:rPr>
          <w:rFonts w:ascii="Arial" w:hAnsi="Arial" w:cs="Arial"/>
          <w:color w:val="000000"/>
          <w:sz w:val="36"/>
          <w:szCs w:val="36"/>
        </w:rPr>
        <w:fldChar w:fldCharType="separate"/>
      </w:r>
      <w:r w:rsidRPr="00BD1E03">
        <w:rPr>
          <w:rStyle w:val="Hyperlink"/>
          <w:rFonts w:ascii="Arial" w:hAnsi="Arial" w:cs="Arial"/>
          <w:sz w:val="36"/>
          <w:szCs w:val="36"/>
        </w:rPr>
        <w:t>http://www.devinfo.info/mdginfo2011/</w:t>
      </w:r>
      <w:r>
        <w:rPr>
          <w:rFonts w:ascii="Arial" w:hAnsi="Arial" w:cs="Arial"/>
          <w:color w:val="000000"/>
          <w:sz w:val="36"/>
          <w:szCs w:val="36"/>
        </w:rPr>
        <w:fldChar w:fldCharType="end"/>
      </w:r>
    </w:p>
    <w:p w:rsidR="001A67AC" w:rsidRDefault="001A67AC">
      <w:pPr>
        <w:rPr>
          <w:rFonts w:ascii="Arial" w:hAnsi="Arial" w:cs="Arial"/>
          <w:color w:val="000000"/>
          <w:sz w:val="36"/>
          <w:szCs w:val="3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02"/>
      </w:tblGrid>
      <w:tr w:rsidR="001A67AC" w:rsidRPr="001A67AC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A67AC" w:rsidRPr="001A67AC">
              <w:trPr>
                <w:tblCellSpacing w:w="0" w:type="dxa"/>
              </w:trPr>
              <w:tc>
                <w:tcPr>
                  <w:tcW w:w="0" w:type="auto"/>
                  <w:shd w:val="clear" w:color="auto" w:fill="FBFBFC"/>
                  <w:tcMar>
                    <w:top w:w="0" w:type="dxa"/>
                    <w:left w:w="117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67AC" w:rsidRPr="001A67AC" w:rsidRDefault="001A67AC" w:rsidP="001A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A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.01 </w:t>
                  </w:r>
                  <w:proofErr w:type="spellStart"/>
                  <w:r w:rsidRPr="001A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Maternal</w:t>
                  </w:r>
                  <w:proofErr w:type="spellEnd"/>
                  <w:r w:rsidRPr="001A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1A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mortality</w:t>
                  </w:r>
                  <w:proofErr w:type="spellEnd"/>
                  <w:r w:rsidRPr="001A67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ratio (MMR) </w:t>
                  </w:r>
                </w:p>
              </w:tc>
            </w:tr>
            <w:tr w:rsidR="001A67AC" w:rsidRPr="001A67AC">
              <w:trPr>
                <w:tblCellSpacing w:w="0" w:type="dxa"/>
              </w:trPr>
              <w:tc>
                <w:tcPr>
                  <w:tcW w:w="0" w:type="auto"/>
                  <w:shd w:val="clear" w:color="auto" w:fill="FBFBFC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49"/>
                    <w:gridCol w:w="7823"/>
                  </w:tblGrid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Element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Value</w:t>
                        </w:r>
                        <w:proofErr w:type="spellEnd"/>
                      </w:p>
                    </w:tc>
                  </w:tr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Definition</w:t>
                        </w:r>
                        <w:proofErr w:type="spellEnd"/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8"/>
                        </w:tblGrid>
                        <w:tr w:rsidR="001A67AC" w:rsidRPr="001A6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7AC" w:rsidRPr="001A67AC" w:rsidRDefault="001A67AC" w:rsidP="001A67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ratio (MMR) is the ratio of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number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given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time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period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per 100,000 live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births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same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time-period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refers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female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any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cause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related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aggravated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management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excluding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accidental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incidental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causes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childbirth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within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42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days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termination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irrespective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site of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Method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of </w:t>
                        </w: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Computation</w:t>
                        </w:r>
                        <w:proofErr w:type="spellEnd"/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8"/>
                        </w:tblGrid>
                        <w:tr w:rsidR="001A67AC" w:rsidRPr="001A6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7AC" w:rsidRPr="001A67AC" w:rsidRDefault="001A67AC" w:rsidP="001A67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ratio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calculated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dividing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recorded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number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total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recorded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number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live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births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same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period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multiplying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100,000.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Measurement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requires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information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status, timing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childbirth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within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42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days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termination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),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cause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 important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note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that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all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occur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temporally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considered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"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".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specific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subset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occur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childbirth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puerperium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further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divided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into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two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groups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namely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direct and indirect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obstetric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Direct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obstetric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result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obstetric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complications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the pregnant state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labour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puerperium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);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interventions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omissions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direct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treatment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;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chain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events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resulting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any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these. Indirect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result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previously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existing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disease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disease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that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developed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was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directly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obstetric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causes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but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was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aggravated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physiologic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effects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meet these criteria,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those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occur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as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result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accidents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defined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more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general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term, "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occurring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childbirth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puerperium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"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previously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referred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as "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related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").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ratio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calculated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directly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collected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through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vital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systems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household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surveys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other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sources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However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all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sources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have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limitations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particularly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related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underreporting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misclassification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see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"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comments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limitations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"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section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). The World Health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Organization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(WHO), United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Nation's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Children's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Fund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(UNICEF), United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Nations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Population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Fund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(UNFPA), The World Bank (WB), and United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Nations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Population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Division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(UNPD) have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developed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adjust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existing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in order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take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into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account these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quality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issues.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This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involves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adjusting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existing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underreporting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misclassification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model-based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made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incomplete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reliable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national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level data. </w:t>
                              </w:r>
                            </w:p>
                          </w:tc>
                        </w:tr>
                      </w:tbl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Comments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and </w:t>
                        </w: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Limitations</w:t>
                        </w:r>
                        <w:proofErr w:type="spellEnd"/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8"/>
                        </w:tblGrid>
                        <w:tr w:rsidR="001A67AC" w:rsidRPr="001A6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7AC" w:rsidRPr="001A67AC" w:rsidRDefault="001A67AC" w:rsidP="001A67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difficult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measure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Vital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health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information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systems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most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developing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weak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thus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cannot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provide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accurate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assessment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Even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derived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complete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vital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systems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those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developed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suffer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misclassification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underreporting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Because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relatively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rare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event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large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sample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sizes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needed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if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household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surveys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used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This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very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costly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still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result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large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confidence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intervals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reduce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sample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size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requirements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sisterhood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measures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asking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respondents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about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survivorship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sisters.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this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reduces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sample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size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requirements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produces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covering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some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7-12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years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before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survey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renders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problematic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monitoring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progress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observing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impact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interventions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The direct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sisterhood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asks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respondents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provide date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permits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calculation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more recent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but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even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then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reference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period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tends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refer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0-6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years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before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survey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ability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generate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country,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global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higher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precision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accuracy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would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greatly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facilitated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if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country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civil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systems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were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further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improved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This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improvement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would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reduce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need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conduct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special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studies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time-consuming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expensive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and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limited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monitoring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trends).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  <w:t xml:space="preserve">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addition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owing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very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large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confidence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limits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around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trends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should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interpreted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caution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recommended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that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process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indicators,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attendance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skilled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health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personnel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delivery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health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facilities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delivery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considered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assessing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progress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towards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reduction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  <w:t xml:space="preserve">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ratio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should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confused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rate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number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population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divided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number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women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reproductive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age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).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rate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captures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likelihood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both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becoming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pregnant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dying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puerperium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six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weeks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after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delivery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). </w:t>
                              </w:r>
                            </w:p>
                          </w:tc>
                        </w:tr>
                      </w:tbl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lastRenderedPageBreak/>
                          <w:t>Sources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of </w:t>
                        </w: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Discrepancies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</w:t>
                        </w: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between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Global and National </w:t>
                        </w: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Figures</w:t>
                        </w:r>
                        <w:proofErr w:type="spellEnd"/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8"/>
                        </w:tblGrid>
                        <w:tr w:rsidR="001A67AC" w:rsidRPr="001A6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7AC" w:rsidRPr="001A67AC" w:rsidRDefault="001A67AC" w:rsidP="001A67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As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detailed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above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WHO, UNICEF, UNFPA, and The WB, have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developed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adjust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existing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in order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produce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better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quality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accounting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some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limitations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mentioned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above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Thus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if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national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figure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derived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directly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civil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system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survey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global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national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differ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Depending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type of the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source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used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primary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individual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adjusted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specific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characteristics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obtain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MMR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that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comparable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across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study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designs,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adjusted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extent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potential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underreporting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according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the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source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issue even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highly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developed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civil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systems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), and/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definition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captured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source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occurring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during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pregnancy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childbirth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puerperium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see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"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computation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").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adjustments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allow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calculation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comparable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country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well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global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aggregates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For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this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reason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global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might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differ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country-reported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figures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Process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of </w:t>
                        </w: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Obtaining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Data</w:t>
                        </w: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8"/>
                        </w:tblGrid>
                        <w:tr w:rsidR="001A67AC" w:rsidRPr="001A6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7AC" w:rsidRPr="001A67AC" w:rsidRDefault="001A67AC" w:rsidP="001A67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other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relevant variables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obtained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through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databases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maintained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WHO, UNPD, UNICEF, and The WB.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available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varies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terms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source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Primary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sources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include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vital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systems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household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surveys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(direct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reproductive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age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studies,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disease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surveillance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sample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systems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special studies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national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population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censuses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Given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variability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sources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all data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reviewed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different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used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each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source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order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arrive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at country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that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comparable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permit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global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aggregation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For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detailed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description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methodology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please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refer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publication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( </w:t>
                              </w:r>
                              <w:hyperlink r:id="rId4" w:tgtFrame="_blank" w:history="1">
                                <w:r w:rsidRPr="001A67AC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u w:val="single"/>
                                    <w:lang w:eastAsia="nl-NL"/>
                                  </w:rPr>
                                  <w:t>http://www.who.int/reproductivehealth/publications/monitoring/9789241500265/en/index.html</w:t>
                                </w:r>
                              </w:hyperlink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63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complete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civil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registration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systems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good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attribution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cause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death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presented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after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adjustment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underreporting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For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other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types of data, these data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adjusted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account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definition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and 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statistical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model is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employed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levels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For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/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territories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appropriate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data--the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statistical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model is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employed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predict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levels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Despite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based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established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demographic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techniques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empirical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from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other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there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guarantee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that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country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specific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point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obtained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through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statistical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model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represent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true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levels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uncertainty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margins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confidence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intervals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epidemiological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statistical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sense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Because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these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margins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extremely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wide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,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must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wary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interpreting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small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numerical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differences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representing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differences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levels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wide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lower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upper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margins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around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figures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reflect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such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uncertainty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Treatment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of missing </w:t>
                        </w: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values</w:t>
                        </w:r>
                        <w:proofErr w:type="spellEnd"/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8"/>
                        </w:tblGrid>
                        <w:tr w:rsidR="001A67AC" w:rsidRPr="001A6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7AC" w:rsidRPr="001A67AC" w:rsidRDefault="001A67AC" w:rsidP="001A67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For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information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methods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see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: Trends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: 1990 to 2008.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developed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WHO, UNICEF, UNFPA and The World Bank.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Available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at :(</w:t>
                              </w:r>
                              <w:hyperlink r:id="rId5" w:tgtFrame="_blank" w:history="1">
                                <w:r w:rsidRPr="001A67AC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u w:val="single"/>
                                    <w:lang w:eastAsia="nl-NL"/>
                                  </w:rPr>
                                  <w:t>http://www.who.int/reproductivehealth/publications/monitoring/9789241500265/en/index.html)and</w:t>
                                </w:r>
                              </w:hyperlink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accompanying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technical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report(</w:t>
                              </w:r>
                              <w:hyperlink r:id="rId6" w:tgtFrame="_blank" w:history="1">
                                <w:r w:rsidRPr="001A67AC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u w:val="single"/>
                                    <w:lang w:eastAsia="nl-NL"/>
                                  </w:rPr>
                                  <w:t>http://www.who.int/reproductivehealth/publications/monitoring/MMR_technical_report.pdf</w:t>
                                </w:r>
                              </w:hyperlink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Data </w:t>
                        </w: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Availability</w:t>
                        </w:r>
                        <w:proofErr w:type="spellEnd"/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8"/>
                        </w:tblGrid>
                        <w:tr w:rsidR="001A67AC" w:rsidRPr="001A6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7AC" w:rsidRPr="001A67AC" w:rsidRDefault="001A67AC" w:rsidP="001A67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Data meeting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inclusion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criteria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process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available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148 of the 172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territories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included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process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There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24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which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meet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national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representative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inclusion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criteria. .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did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not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include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countries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territories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with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populations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under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250,000. </w:t>
                              </w: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br/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Adjusted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MMR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calculated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5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yearly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intervals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The complete data files and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statistical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programmes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used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generate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available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online at: (</w:t>
                              </w:r>
                              <w:hyperlink r:id="rId7" w:tgtFrame="_blank" w:history="1">
                                <w:r w:rsidRPr="001A67AC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u w:val="single"/>
                                    <w:lang w:eastAsia="nl-NL"/>
                                  </w:rPr>
                                  <w:t>http://www.who.int/reproductivehealth/publications/monitoring/9789241500265/en/index.html</w:t>
                                </w:r>
                              </w:hyperlink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).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published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as Trends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: 1990 to 2008.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developed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WHO, UNICEF, UNFPA and The World Bank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annually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UNICEF in The State of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World's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Children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report and the WHO in World Health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Statistics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Regional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and Global </w:t>
                        </w: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Estimates</w:t>
                        </w:r>
                        <w:proofErr w:type="spellEnd"/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8"/>
                        </w:tblGrid>
                        <w:tr w:rsidR="001A67AC" w:rsidRPr="001A6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7AC" w:rsidRPr="001A67AC" w:rsidRDefault="001A67AC" w:rsidP="001A67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global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based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population-weighted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averages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weighted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total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number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of live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births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These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presented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only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if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available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data cover at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least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50% of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total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births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in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regional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or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global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groupings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  <w:tr w:rsidR="001A67AC" w:rsidRPr="001A67AC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proofErr w:type="spellStart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>Expected</w:t>
                        </w:r>
                        <w:proofErr w:type="spellEnd"/>
                        <w:r w:rsidRPr="001A67A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  <w:t xml:space="preserve"> Time of Release</w:t>
                        </w: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778"/>
                        </w:tblGrid>
                        <w:tr w:rsidR="001A67AC" w:rsidRPr="001A67A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7AC" w:rsidRPr="001A67AC" w:rsidRDefault="001A67AC" w:rsidP="001A67A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</w:pPr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Global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are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produced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approximately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every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two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to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five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years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and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latest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update Trends in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maternal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mortality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: 1990 to 2008.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Estimates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developed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WHO, UNICEF, UNFPA and The World Bank is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available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at :(</w:t>
                              </w:r>
                              <w:hyperlink r:id="rId8" w:tgtFrame="_blank" w:history="1">
                                <w:r w:rsidRPr="001A67AC">
                                  <w:rPr>
                                    <w:rFonts w:ascii="Arial" w:eastAsia="Times New Roman" w:hAnsi="Arial" w:cs="Arial"/>
                                    <w:color w:val="0000FF"/>
                                    <w:sz w:val="18"/>
                                    <w:u w:val="single"/>
                                    <w:lang w:eastAsia="nl-NL"/>
                                  </w:rPr>
                                  <w:t>http://www.who.int/reproductivehealth/publications/monitoring/9789241500265/en/index.html</w:t>
                                </w:r>
                              </w:hyperlink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) and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annually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by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UNICEF in The State of the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World's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Children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 report and the WHO in World Health </w:t>
                              </w:r>
                              <w:proofErr w:type="spellStart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>Statistics</w:t>
                              </w:r>
                              <w:proofErr w:type="spellEnd"/>
                              <w:r w:rsidRPr="001A67AC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nl-NL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1A67AC" w:rsidRPr="001A67AC" w:rsidRDefault="001A67AC" w:rsidP="001A67A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</w:p>
                    </w:tc>
                  </w:tr>
                </w:tbl>
                <w:p w:rsidR="001A67AC" w:rsidRPr="001A67AC" w:rsidRDefault="001A67AC" w:rsidP="001A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1A67AC" w:rsidRPr="001A67AC" w:rsidRDefault="001A67AC" w:rsidP="001A6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1A67AC" w:rsidRDefault="001A67AC"/>
    <w:sectPr w:rsidR="001A67AC" w:rsidSect="0011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67AC"/>
    <w:rsid w:val="0001438C"/>
    <w:rsid w:val="000249F7"/>
    <w:rsid w:val="00031E11"/>
    <w:rsid w:val="00033468"/>
    <w:rsid w:val="00036AA4"/>
    <w:rsid w:val="000701D6"/>
    <w:rsid w:val="000776FF"/>
    <w:rsid w:val="00082066"/>
    <w:rsid w:val="000F1181"/>
    <w:rsid w:val="000F51BE"/>
    <w:rsid w:val="00112CE1"/>
    <w:rsid w:val="00116167"/>
    <w:rsid w:val="00121865"/>
    <w:rsid w:val="001450AB"/>
    <w:rsid w:val="00156D1A"/>
    <w:rsid w:val="00171947"/>
    <w:rsid w:val="001725A0"/>
    <w:rsid w:val="001768FF"/>
    <w:rsid w:val="00181606"/>
    <w:rsid w:val="001942D1"/>
    <w:rsid w:val="001953C6"/>
    <w:rsid w:val="001A67AC"/>
    <w:rsid w:val="001C7CDB"/>
    <w:rsid w:val="001D3240"/>
    <w:rsid w:val="001D5FEF"/>
    <w:rsid w:val="001E07A3"/>
    <w:rsid w:val="001E6CF9"/>
    <w:rsid w:val="001F24D6"/>
    <w:rsid w:val="001F47F4"/>
    <w:rsid w:val="00201464"/>
    <w:rsid w:val="00210953"/>
    <w:rsid w:val="00220F9D"/>
    <w:rsid w:val="00223B42"/>
    <w:rsid w:val="00231538"/>
    <w:rsid w:val="0025223E"/>
    <w:rsid w:val="002863E7"/>
    <w:rsid w:val="0029595D"/>
    <w:rsid w:val="002B0F21"/>
    <w:rsid w:val="002B1A0B"/>
    <w:rsid w:val="002B63B2"/>
    <w:rsid w:val="002C3616"/>
    <w:rsid w:val="002C3636"/>
    <w:rsid w:val="002D2723"/>
    <w:rsid w:val="002D646C"/>
    <w:rsid w:val="002F06BD"/>
    <w:rsid w:val="003049CA"/>
    <w:rsid w:val="00313BBB"/>
    <w:rsid w:val="00340063"/>
    <w:rsid w:val="003577F5"/>
    <w:rsid w:val="00361F2F"/>
    <w:rsid w:val="003950A6"/>
    <w:rsid w:val="003953A7"/>
    <w:rsid w:val="003A0829"/>
    <w:rsid w:val="003A780A"/>
    <w:rsid w:val="003B6A99"/>
    <w:rsid w:val="003D11A6"/>
    <w:rsid w:val="003F0470"/>
    <w:rsid w:val="00420920"/>
    <w:rsid w:val="004519C2"/>
    <w:rsid w:val="004A607B"/>
    <w:rsid w:val="004B7453"/>
    <w:rsid w:val="004C45FC"/>
    <w:rsid w:val="004C6ECC"/>
    <w:rsid w:val="004C7D55"/>
    <w:rsid w:val="00510A13"/>
    <w:rsid w:val="00521AFF"/>
    <w:rsid w:val="005302E1"/>
    <w:rsid w:val="00571571"/>
    <w:rsid w:val="00584EEC"/>
    <w:rsid w:val="00594205"/>
    <w:rsid w:val="005B0CCD"/>
    <w:rsid w:val="005C454F"/>
    <w:rsid w:val="005E6617"/>
    <w:rsid w:val="00600526"/>
    <w:rsid w:val="00601986"/>
    <w:rsid w:val="0062134D"/>
    <w:rsid w:val="00646038"/>
    <w:rsid w:val="00651BCA"/>
    <w:rsid w:val="0071469B"/>
    <w:rsid w:val="007264DA"/>
    <w:rsid w:val="007379A1"/>
    <w:rsid w:val="00750AD0"/>
    <w:rsid w:val="007607AD"/>
    <w:rsid w:val="0076290C"/>
    <w:rsid w:val="00775003"/>
    <w:rsid w:val="00792139"/>
    <w:rsid w:val="007B7D3C"/>
    <w:rsid w:val="007C2FBC"/>
    <w:rsid w:val="007D4040"/>
    <w:rsid w:val="00800467"/>
    <w:rsid w:val="00803E1D"/>
    <w:rsid w:val="0087598B"/>
    <w:rsid w:val="00886138"/>
    <w:rsid w:val="008A4830"/>
    <w:rsid w:val="008C0ADE"/>
    <w:rsid w:val="008C3596"/>
    <w:rsid w:val="008E06C8"/>
    <w:rsid w:val="008E2481"/>
    <w:rsid w:val="008F582C"/>
    <w:rsid w:val="00906996"/>
    <w:rsid w:val="00912162"/>
    <w:rsid w:val="00913206"/>
    <w:rsid w:val="00946B85"/>
    <w:rsid w:val="009663F7"/>
    <w:rsid w:val="00967131"/>
    <w:rsid w:val="0097146A"/>
    <w:rsid w:val="00975354"/>
    <w:rsid w:val="009754CD"/>
    <w:rsid w:val="009C60CD"/>
    <w:rsid w:val="009D7967"/>
    <w:rsid w:val="009D7B93"/>
    <w:rsid w:val="009E5A30"/>
    <w:rsid w:val="00A027A6"/>
    <w:rsid w:val="00A030F5"/>
    <w:rsid w:val="00A03976"/>
    <w:rsid w:val="00A12220"/>
    <w:rsid w:val="00A16475"/>
    <w:rsid w:val="00A62B7E"/>
    <w:rsid w:val="00A6646F"/>
    <w:rsid w:val="00A828D3"/>
    <w:rsid w:val="00AA1934"/>
    <w:rsid w:val="00AA6669"/>
    <w:rsid w:val="00AB38D0"/>
    <w:rsid w:val="00AB6894"/>
    <w:rsid w:val="00AC724D"/>
    <w:rsid w:val="00AC73DE"/>
    <w:rsid w:val="00AD178B"/>
    <w:rsid w:val="00AF6453"/>
    <w:rsid w:val="00B0540B"/>
    <w:rsid w:val="00B061A0"/>
    <w:rsid w:val="00B301CD"/>
    <w:rsid w:val="00B45FCE"/>
    <w:rsid w:val="00B73B2F"/>
    <w:rsid w:val="00B93220"/>
    <w:rsid w:val="00BB46A7"/>
    <w:rsid w:val="00BB4D01"/>
    <w:rsid w:val="00BD6803"/>
    <w:rsid w:val="00BE6C5C"/>
    <w:rsid w:val="00C1619C"/>
    <w:rsid w:val="00C332E2"/>
    <w:rsid w:val="00C4629C"/>
    <w:rsid w:val="00C54C8E"/>
    <w:rsid w:val="00C74A9B"/>
    <w:rsid w:val="00C81997"/>
    <w:rsid w:val="00CC37F9"/>
    <w:rsid w:val="00CE0311"/>
    <w:rsid w:val="00CE403D"/>
    <w:rsid w:val="00CF1D75"/>
    <w:rsid w:val="00CF5441"/>
    <w:rsid w:val="00D00C02"/>
    <w:rsid w:val="00D023D7"/>
    <w:rsid w:val="00D11215"/>
    <w:rsid w:val="00D16705"/>
    <w:rsid w:val="00D24048"/>
    <w:rsid w:val="00D41382"/>
    <w:rsid w:val="00D43D05"/>
    <w:rsid w:val="00D5673E"/>
    <w:rsid w:val="00D62EBA"/>
    <w:rsid w:val="00D676F2"/>
    <w:rsid w:val="00D80A73"/>
    <w:rsid w:val="00DB7AE6"/>
    <w:rsid w:val="00DC1578"/>
    <w:rsid w:val="00DC4EE5"/>
    <w:rsid w:val="00DC6770"/>
    <w:rsid w:val="00DD23CC"/>
    <w:rsid w:val="00DD313F"/>
    <w:rsid w:val="00DD60DA"/>
    <w:rsid w:val="00DE77ED"/>
    <w:rsid w:val="00DF1C24"/>
    <w:rsid w:val="00E17A5E"/>
    <w:rsid w:val="00E25245"/>
    <w:rsid w:val="00E55D1D"/>
    <w:rsid w:val="00E56086"/>
    <w:rsid w:val="00E624D2"/>
    <w:rsid w:val="00E815CE"/>
    <w:rsid w:val="00E833EB"/>
    <w:rsid w:val="00E944DA"/>
    <w:rsid w:val="00EA269A"/>
    <w:rsid w:val="00EC0031"/>
    <w:rsid w:val="00EC5133"/>
    <w:rsid w:val="00EF0CFC"/>
    <w:rsid w:val="00F0052E"/>
    <w:rsid w:val="00F03456"/>
    <w:rsid w:val="00F03657"/>
    <w:rsid w:val="00F065D4"/>
    <w:rsid w:val="00F33817"/>
    <w:rsid w:val="00F56EFC"/>
    <w:rsid w:val="00F645A1"/>
    <w:rsid w:val="00F668C8"/>
    <w:rsid w:val="00F8300B"/>
    <w:rsid w:val="00F850E7"/>
    <w:rsid w:val="00FC08A7"/>
    <w:rsid w:val="00FF0CEF"/>
    <w:rsid w:val="00FF1B72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1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6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reproductivehealth/publications/monitoring/9789241500265/e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o.int/reproductivehealth/publications/monitoring/9789241500265/e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reproductivehealth/publications/monitoring/MMR_technical_report.pdf" TargetMode="External"/><Relationship Id="rId5" Type="http://schemas.openxmlformats.org/officeDocument/2006/relationships/hyperlink" Target="http://www.who.int/reproductivehealth/publications/monitoring/9789241500265/en/index.html)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ho.int/reproductivehealth/publications/monitoring/9789241500265/en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1665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2</cp:revision>
  <dcterms:created xsi:type="dcterms:W3CDTF">2012-12-01T22:09:00Z</dcterms:created>
  <dcterms:modified xsi:type="dcterms:W3CDTF">2012-12-01T22:09:00Z</dcterms:modified>
</cp:coreProperties>
</file>