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5F94" w:rsidRDefault="00123C6C">
      <w:pPr>
        <w:spacing w:after="0" w:line="240" w:lineRule="auto"/>
        <w:jc w:val="center"/>
      </w:pPr>
      <w:bookmarkStart w:id="0" w:name="_GoBack"/>
      <w:bookmarkEnd w:id="0"/>
      <w:r>
        <w:rPr>
          <w:rFonts w:ascii="Times New Roman" w:eastAsia="Times New Roman" w:hAnsi="Times New Roman" w:cs="Times New Roman"/>
          <w:b/>
          <w:sz w:val="36"/>
          <w:szCs w:val="36"/>
        </w:rPr>
        <w:t>The NGO Major Group</w:t>
      </w:r>
    </w:p>
    <w:p w:rsidR="00D15F94" w:rsidRDefault="00123C6C">
      <w:pPr>
        <w:spacing w:after="0" w:line="240" w:lineRule="auto"/>
        <w:jc w:val="center"/>
      </w:pPr>
      <w:r>
        <w:rPr>
          <w:rFonts w:ascii="Times New Roman" w:eastAsia="Times New Roman" w:hAnsi="Times New Roman" w:cs="Times New Roman"/>
          <w:b/>
          <w:sz w:val="36"/>
          <w:szCs w:val="36"/>
        </w:rPr>
        <w:t>Terms of Reference for</w:t>
      </w:r>
    </w:p>
    <w:p w:rsidR="00D15F94" w:rsidRDefault="00123C6C">
      <w:pPr>
        <w:spacing w:after="0" w:line="240" w:lineRule="auto"/>
        <w:jc w:val="center"/>
      </w:pPr>
      <w:r>
        <w:rPr>
          <w:rFonts w:ascii="Times New Roman" w:eastAsia="Times New Roman" w:hAnsi="Times New Roman" w:cs="Times New Roman"/>
          <w:b/>
          <w:sz w:val="36"/>
          <w:szCs w:val="36"/>
        </w:rPr>
        <w:t>Organizing Partners (OPs)</w:t>
      </w:r>
      <w:r>
        <w:rPr>
          <w:rFonts w:ascii="Times New Roman" w:eastAsia="Times New Roman" w:hAnsi="Times New Roman" w:cs="Times New Roman"/>
          <w:b/>
          <w:sz w:val="36"/>
          <w:szCs w:val="36"/>
          <w:u w:val="single"/>
          <w:vertAlign w:val="superscript"/>
        </w:rPr>
        <w:footnoteReference w:id="1"/>
      </w:r>
    </w:p>
    <w:p w:rsidR="00D15F94" w:rsidRDefault="00123C6C">
      <w:pPr>
        <w:spacing w:after="0" w:line="240" w:lineRule="auto"/>
        <w:jc w:val="center"/>
      </w:pPr>
      <w:r>
        <w:rPr>
          <w:rFonts w:ascii="Times New Roman" w:eastAsia="Times New Roman" w:hAnsi="Times New Roman" w:cs="Times New Roman"/>
          <w:b/>
          <w:sz w:val="36"/>
          <w:szCs w:val="36"/>
          <w:u w:val="single"/>
          <w:vertAlign w:val="superscript"/>
        </w:rPr>
        <w:t>(</w:t>
      </w:r>
      <w:r>
        <w:rPr>
          <w:rFonts w:ascii="Times New Roman" w:eastAsia="Times New Roman" w:hAnsi="Times New Roman" w:cs="Times New Roman"/>
          <w:b/>
          <w:sz w:val="36"/>
          <w:szCs w:val="36"/>
          <w:u w:val="single"/>
          <w:vertAlign w:val="superscript"/>
        </w:rPr>
        <w:t>FINAL -  11 February 2016</w:t>
      </w:r>
      <w:r>
        <w:rPr>
          <w:rFonts w:ascii="Times New Roman" w:eastAsia="Times New Roman" w:hAnsi="Times New Roman" w:cs="Times New Roman"/>
          <w:b/>
          <w:sz w:val="36"/>
          <w:szCs w:val="36"/>
          <w:u w:val="single"/>
          <w:vertAlign w:val="superscript"/>
        </w:rPr>
        <w:t>)</w:t>
      </w:r>
    </w:p>
    <w:p w:rsidR="00D15F94" w:rsidRDefault="00D15F94">
      <w:pPr>
        <w:spacing w:after="0" w:line="240" w:lineRule="auto"/>
        <w:ind w:left="720"/>
        <w:jc w:val="center"/>
      </w:pPr>
    </w:p>
    <w:p w:rsidR="00D15F94" w:rsidRDefault="00D15F94">
      <w:pPr>
        <w:spacing w:after="0" w:line="240" w:lineRule="auto"/>
        <w:ind w:left="720"/>
      </w:pPr>
    </w:p>
    <w:p w:rsidR="00D15F94" w:rsidRDefault="00123C6C">
      <w:pPr>
        <w:numPr>
          <w:ilvl w:val="0"/>
          <w:numId w:val="4"/>
        </w:numPr>
        <w:spacing w:after="0" w:line="240" w:lineRule="auto"/>
        <w:ind w:hanging="360"/>
      </w:pPr>
      <w:r>
        <w:rPr>
          <w:rFonts w:ascii="Times New Roman" w:eastAsia="Times New Roman" w:hAnsi="Times New Roman" w:cs="Times New Roman"/>
        </w:rPr>
        <w:t>Background</w:t>
      </w:r>
    </w:p>
    <w:p w:rsidR="00D15F94" w:rsidRDefault="00D15F94">
      <w:pPr>
        <w:spacing w:after="0" w:line="240" w:lineRule="auto"/>
        <w:ind w:left="1080"/>
      </w:pPr>
    </w:p>
    <w:p w:rsidR="00D15F94" w:rsidRDefault="00123C6C">
      <w:pPr>
        <w:numPr>
          <w:ilvl w:val="0"/>
          <w:numId w:val="4"/>
        </w:numPr>
        <w:spacing w:after="0" w:line="240" w:lineRule="auto"/>
        <w:ind w:hanging="360"/>
      </w:pPr>
      <w:r>
        <w:rPr>
          <w:rFonts w:ascii="Times New Roman" w:eastAsia="Times New Roman" w:hAnsi="Times New Roman" w:cs="Times New Roman"/>
        </w:rPr>
        <w:t>The NGO Major Group O</w:t>
      </w:r>
      <w:r>
        <w:rPr>
          <w:rFonts w:ascii="Times New Roman" w:eastAsia="Times New Roman" w:hAnsi="Times New Roman" w:cs="Times New Roman"/>
        </w:rPr>
        <w:t xml:space="preserve">rganizing </w:t>
      </w:r>
      <w:r>
        <w:rPr>
          <w:rFonts w:ascii="Times New Roman" w:eastAsia="Times New Roman" w:hAnsi="Times New Roman" w:cs="Times New Roman"/>
        </w:rPr>
        <w:t>Partners</w:t>
      </w:r>
    </w:p>
    <w:p w:rsidR="00D15F94" w:rsidRDefault="00123C6C">
      <w:pPr>
        <w:numPr>
          <w:ilvl w:val="0"/>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 Role</w:t>
      </w:r>
    </w:p>
    <w:p w:rsidR="00D15F94" w:rsidRDefault="00123C6C">
      <w:pPr>
        <w:numPr>
          <w:ilvl w:val="0"/>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Functions and responsibilities</w:t>
      </w:r>
    </w:p>
    <w:p w:rsidR="00D15F94" w:rsidRDefault="00123C6C">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Consultation with Major Groups an</w:t>
      </w:r>
      <w:r>
        <w:rPr>
          <w:rFonts w:ascii="Times New Roman" w:eastAsia="Times New Roman" w:hAnsi="Times New Roman" w:cs="Times New Roman"/>
        </w:rPr>
        <w:t>d other Stakeholders</w:t>
      </w:r>
    </w:p>
    <w:p w:rsidR="00D15F94" w:rsidRDefault="00123C6C">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Communication and outreach</w:t>
      </w:r>
    </w:p>
    <w:p w:rsidR="00D15F94" w:rsidRDefault="00123C6C">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Resource mobilization</w:t>
      </w:r>
    </w:p>
    <w:p w:rsidR="00D15F94" w:rsidRDefault="00123C6C">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Liaison with UN DESA/DSD</w:t>
      </w:r>
    </w:p>
    <w:p w:rsidR="00D15F94" w:rsidRDefault="00123C6C">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Coordination with other Organizing Partners of Major Groups</w:t>
      </w:r>
    </w:p>
    <w:p w:rsidR="00D15F94" w:rsidRDefault="00D15F94">
      <w:pPr>
        <w:spacing w:after="0" w:line="240" w:lineRule="auto"/>
        <w:ind w:left="2520"/>
      </w:pPr>
    </w:p>
    <w:p w:rsidR="00D15F94" w:rsidRDefault="00123C6C">
      <w:pPr>
        <w:numPr>
          <w:ilvl w:val="0"/>
          <w:numId w:val="4"/>
        </w:numPr>
        <w:spacing w:after="0" w:line="240" w:lineRule="auto"/>
        <w:ind w:hanging="360"/>
      </w:pPr>
      <w:r>
        <w:rPr>
          <w:rFonts w:ascii="Times New Roman" w:eastAsia="Times New Roman" w:hAnsi="Times New Roman" w:cs="Times New Roman"/>
        </w:rPr>
        <w:t>NGO Major Group Facilitation Committee Structure and Terms</w:t>
      </w:r>
    </w:p>
    <w:p w:rsidR="00D15F94" w:rsidRDefault="00123C6C">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Structure</w:t>
      </w:r>
    </w:p>
    <w:p w:rsidR="00D15F94" w:rsidRDefault="00123C6C">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Thematic clusters</w:t>
      </w:r>
    </w:p>
    <w:p w:rsidR="00D15F94" w:rsidRDefault="00123C6C">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Global OPs</w:t>
      </w:r>
    </w:p>
    <w:p w:rsidR="00D15F94" w:rsidRDefault="00123C6C">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Regional OPs</w:t>
      </w:r>
    </w:p>
    <w:p w:rsidR="00D15F94" w:rsidRDefault="00123C6C">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Thematic Cluster Coordinators</w:t>
      </w:r>
    </w:p>
    <w:p w:rsidR="00D15F94" w:rsidRDefault="00D15F94">
      <w:pPr>
        <w:spacing w:after="0" w:line="240" w:lineRule="auto"/>
        <w:ind w:left="1440"/>
      </w:pPr>
    </w:p>
    <w:p w:rsidR="00D15F94" w:rsidRDefault="00123C6C">
      <w:pPr>
        <w:numPr>
          <w:ilvl w:val="0"/>
          <w:numId w:val="4"/>
        </w:numPr>
        <w:spacing w:after="0" w:line="240" w:lineRule="auto"/>
        <w:ind w:hanging="360"/>
      </w:pPr>
      <w:r>
        <w:rPr>
          <w:rFonts w:ascii="Times New Roman" w:eastAsia="Times New Roman" w:hAnsi="Times New Roman" w:cs="Times New Roman"/>
        </w:rPr>
        <w:t>Nomination Process for Global/Regional organizing Partners and Thematic Cluster Coordinators</w:t>
      </w:r>
    </w:p>
    <w:p w:rsidR="00D15F94" w:rsidRDefault="00123C6C">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Nomination </w:t>
      </w:r>
      <w:r>
        <w:rPr>
          <w:rFonts w:ascii="Times New Roman" w:eastAsia="Times New Roman" w:hAnsi="Times New Roman" w:cs="Times New Roman"/>
        </w:rPr>
        <w:t>Committee</w:t>
      </w:r>
    </w:p>
    <w:p w:rsidR="00D15F94" w:rsidRDefault="00123C6C">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Nomination </w:t>
      </w:r>
      <w:r>
        <w:rPr>
          <w:rFonts w:ascii="Times New Roman" w:eastAsia="Times New Roman" w:hAnsi="Times New Roman" w:cs="Times New Roman"/>
        </w:rPr>
        <w:t>Committee procedures</w:t>
      </w:r>
    </w:p>
    <w:p w:rsidR="00D15F94" w:rsidRDefault="00123C6C">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Nomination C</w:t>
      </w:r>
      <w:r>
        <w:rPr>
          <w:rFonts w:ascii="Times New Roman" w:eastAsia="Times New Roman" w:hAnsi="Times New Roman" w:cs="Times New Roman"/>
        </w:rPr>
        <w:t>riteria</w:t>
      </w:r>
    </w:p>
    <w:p w:rsidR="00D15F94" w:rsidRDefault="00123C6C">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Terms of Office</w:t>
      </w:r>
    </w:p>
    <w:p w:rsidR="00D15F94" w:rsidRDefault="00123C6C">
      <w:pPr>
        <w:numPr>
          <w:ilvl w:val="1"/>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Global Organizing Partners</w:t>
      </w:r>
    </w:p>
    <w:p w:rsidR="00D15F94" w:rsidRDefault="00123C6C">
      <w:pPr>
        <w:numPr>
          <w:ilvl w:val="1"/>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Regional Organizing Partners</w:t>
      </w:r>
    </w:p>
    <w:p w:rsidR="00D15F94" w:rsidRDefault="00123C6C">
      <w:pPr>
        <w:numPr>
          <w:ilvl w:val="1"/>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Thematic Cluster Coordinators</w:t>
      </w:r>
    </w:p>
    <w:p w:rsidR="00D15F94" w:rsidRDefault="00123C6C">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Resignation</w:t>
      </w:r>
    </w:p>
    <w:p w:rsidR="00D15F94" w:rsidRDefault="00D15F94">
      <w:pPr>
        <w:spacing w:after="0" w:line="240" w:lineRule="auto"/>
        <w:ind w:left="2160"/>
      </w:pPr>
    </w:p>
    <w:p w:rsidR="00D15F94" w:rsidRDefault="00123C6C">
      <w:pPr>
        <w:numPr>
          <w:ilvl w:val="0"/>
          <w:numId w:val="4"/>
        </w:numPr>
        <w:spacing w:after="0" w:line="240" w:lineRule="auto"/>
        <w:ind w:hanging="360"/>
      </w:pPr>
      <w:r>
        <w:rPr>
          <w:rFonts w:ascii="Times New Roman" w:eastAsia="Times New Roman" w:hAnsi="Times New Roman" w:cs="Times New Roman"/>
        </w:rPr>
        <w:t>Meetings and decision-making</w:t>
      </w:r>
    </w:p>
    <w:p w:rsidR="00D15F94" w:rsidRDefault="00D15F94">
      <w:pPr>
        <w:spacing w:after="0" w:line="240" w:lineRule="auto"/>
        <w:ind w:left="1080"/>
      </w:pPr>
    </w:p>
    <w:p w:rsidR="00D15F94" w:rsidRDefault="00123C6C">
      <w:pPr>
        <w:numPr>
          <w:ilvl w:val="0"/>
          <w:numId w:val="4"/>
        </w:numPr>
        <w:spacing w:after="0" w:line="240" w:lineRule="auto"/>
        <w:ind w:hanging="360"/>
      </w:pPr>
      <w:r>
        <w:rPr>
          <w:rFonts w:ascii="Times New Roman" w:eastAsia="Times New Roman" w:hAnsi="Times New Roman" w:cs="Times New Roman"/>
        </w:rPr>
        <w:t>Interaction with the HLPF</w:t>
      </w:r>
    </w:p>
    <w:p w:rsidR="00D15F94" w:rsidRDefault="00123C6C">
      <w:pPr>
        <w:numPr>
          <w:ilvl w:val="0"/>
          <w:numId w:val="14"/>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Preparing for the HLPF</w:t>
      </w:r>
    </w:p>
    <w:p w:rsidR="00D15F94" w:rsidRDefault="00123C6C">
      <w:pPr>
        <w:numPr>
          <w:ilvl w:val="0"/>
          <w:numId w:val="14"/>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During the HLPF</w:t>
      </w:r>
    </w:p>
    <w:p w:rsidR="00D15F94" w:rsidRDefault="00D15F94">
      <w:pPr>
        <w:spacing w:after="0" w:line="240" w:lineRule="auto"/>
        <w:ind w:left="2160"/>
      </w:pPr>
    </w:p>
    <w:p w:rsidR="00D15F94" w:rsidRDefault="00D15F94">
      <w:pPr>
        <w:spacing w:after="0" w:line="240" w:lineRule="auto"/>
        <w:jc w:val="center"/>
      </w:pPr>
    </w:p>
    <w:p w:rsidR="00D15F94" w:rsidRDefault="00D15F94">
      <w:pPr>
        <w:spacing w:after="0" w:line="240" w:lineRule="auto"/>
      </w:pPr>
    </w:p>
    <w:p w:rsidR="00D15F94" w:rsidRDefault="00D15F94">
      <w:pPr>
        <w:spacing w:after="0" w:line="240" w:lineRule="auto"/>
      </w:pPr>
    </w:p>
    <w:p w:rsidR="00D15F94" w:rsidRDefault="00123C6C">
      <w:r>
        <w:rPr>
          <w:rFonts w:ascii="Times New Roman" w:eastAsia="Times New Roman" w:hAnsi="Times New Roman" w:cs="Times New Roman"/>
          <w:sz w:val="24"/>
          <w:szCs w:val="24"/>
        </w:rPr>
        <w:t>I – Background</w:t>
      </w:r>
    </w:p>
    <w:p w:rsidR="00D15F94" w:rsidRDefault="00123C6C">
      <w:r>
        <w:rPr>
          <w:rFonts w:ascii="Times New Roman" w:eastAsia="Times New Roman" w:hAnsi="Times New Roman" w:cs="Times New Roman"/>
          <w:sz w:val="24"/>
          <w:szCs w:val="24"/>
        </w:rPr>
        <w:t>“We acknowledge the role of civil society and the importance of enabling all members of civil society to be actively engaged in sustainable development.”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Non-Governmental Organizations (NGOs), Major Groups, members of civil society and relevant stakehold</w:t>
      </w:r>
      <w:r>
        <w:rPr>
          <w:rFonts w:ascii="Times New Roman" w:eastAsia="Times New Roman" w:hAnsi="Times New Roman" w:cs="Times New Roman"/>
          <w:sz w:val="24"/>
          <w:szCs w:val="24"/>
        </w:rPr>
        <w:t>ers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were given significant roles and responsible mandates throughout the Rio+20 Outcome Document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agreed upon at the UN Conference on Sustainable Development (UNCSD) in Rio de Janeiro in 2012. Various rights, obligations and tasks with relevance to NGOs, </w:t>
      </w:r>
      <w:r>
        <w:rPr>
          <w:rFonts w:ascii="Times New Roman" w:eastAsia="Times New Roman" w:hAnsi="Times New Roman" w:cs="Times New Roman"/>
          <w:sz w:val="24"/>
          <w:szCs w:val="24"/>
        </w:rPr>
        <w:t>Major Groups and civil society are interspersed throughout the Outcome Document and an entire chapter is devoted to these groups.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decisions expressed by the </w:t>
      </w:r>
      <w:r>
        <w:rPr>
          <w:rFonts w:ascii="Times New Roman" w:eastAsia="Times New Roman" w:hAnsi="Times New Roman" w:cs="Times New Roman"/>
          <w:b/>
          <w:sz w:val="24"/>
          <w:szCs w:val="24"/>
        </w:rPr>
        <w:t xml:space="preserve">Rio+20 Outcome Document </w:t>
      </w:r>
      <w:r>
        <w:rPr>
          <w:rFonts w:ascii="Times New Roman" w:eastAsia="Times New Roman" w:hAnsi="Times New Roman" w:cs="Times New Roman"/>
          <w:sz w:val="24"/>
          <w:szCs w:val="24"/>
        </w:rPr>
        <w:t xml:space="preserve">build on earlier positive experiences shared by the entire UN family, </w:t>
      </w:r>
      <w:r>
        <w:rPr>
          <w:rFonts w:ascii="Times New Roman" w:eastAsia="Times New Roman" w:hAnsi="Times New Roman" w:cs="Times New Roman"/>
          <w:sz w:val="24"/>
          <w:szCs w:val="24"/>
        </w:rPr>
        <w:t xml:space="preserve">including intergovernmental processes and with reference to practices developed at the UN Commission on Sustainable Development (CSD), paragraph 84 states that: </w:t>
      </w:r>
      <w:r>
        <w:rPr>
          <w:rFonts w:ascii="Times New Roman" w:eastAsia="Times New Roman" w:hAnsi="Times New Roman" w:cs="Times New Roman"/>
          <w:b/>
          <w:sz w:val="24"/>
          <w:szCs w:val="24"/>
        </w:rPr>
        <w:t>“We decide to establish a universal intergovernmental high-level political forum, building on t</w:t>
      </w:r>
      <w:r>
        <w:rPr>
          <w:rFonts w:ascii="Times New Roman" w:eastAsia="Times New Roman" w:hAnsi="Times New Roman" w:cs="Times New Roman"/>
          <w:b/>
          <w:sz w:val="24"/>
          <w:szCs w:val="24"/>
        </w:rPr>
        <w:t>he strengths, experiences, resources and inclusive participation modalities of the Commission on Sust</w:t>
      </w:r>
      <w:r>
        <w:rPr>
          <w:rFonts w:ascii="Times New Roman" w:eastAsia="Times New Roman" w:hAnsi="Times New Roman" w:cs="Times New Roman"/>
          <w:b/>
          <w:sz w:val="24"/>
          <w:szCs w:val="24"/>
        </w:rPr>
        <w:t xml:space="preserve">ainable </w:t>
      </w:r>
      <w:r>
        <w:rPr>
          <w:rFonts w:ascii="Times New Roman" w:eastAsia="Times New Roman" w:hAnsi="Times New Roman" w:cs="Times New Roman"/>
          <w:b/>
          <w:sz w:val="24"/>
          <w:szCs w:val="24"/>
        </w:rPr>
        <w:t>Development (verify te</w:t>
      </w:r>
      <w:r>
        <w:rPr>
          <w:rFonts w:ascii="Times New Roman" w:eastAsia="Times New Roman" w:hAnsi="Times New Roman" w:cs="Times New Roman"/>
          <w:b/>
          <w:sz w:val="24"/>
          <w:szCs w:val="24"/>
        </w:rPr>
        <w:t>xt)</w:t>
      </w:r>
      <w:r>
        <w:rPr>
          <w:rFonts w:ascii="Times New Roman" w:eastAsia="Times New Roman" w:hAnsi="Times New Roman" w:cs="Times New Roman"/>
          <w:b/>
          <w:sz w:val="24"/>
          <w:szCs w:val="24"/>
        </w:rPr>
        <w:t>, and subsequently replacing the Commission.” Fourteen processes were initiated by decisions taken at UNCSD, and among the</w:t>
      </w:r>
      <w:r>
        <w:rPr>
          <w:rFonts w:ascii="Times New Roman" w:eastAsia="Times New Roman" w:hAnsi="Times New Roman" w:cs="Times New Roman"/>
          <w:b/>
          <w:sz w:val="24"/>
          <w:szCs w:val="24"/>
        </w:rPr>
        <w:t xml:space="preserve">se was the agreement to establish the High Level Political Forum (HLPF) which has now replaced CSD. </w:t>
      </w:r>
      <w:r>
        <w:rPr>
          <w:rFonts w:ascii="Times New Roman" w:eastAsia="Times New Roman" w:hAnsi="Times New Roman" w:cs="Times New Roman"/>
          <w:sz w:val="24"/>
          <w:szCs w:val="24"/>
        </w:rPr>
        <w:t>The UN General Assembly resolution that established the HLPF</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2013 emphasizes that Major Groups and other relevant stakeholders, while respecting the int</w:t>
      </w:r>
      <w:r>
        <w:rPr>
          <w:rFonts w:ascii="Times New Roman" w:eastAsia="Times New Roman" w:hAnsi="Times New Roman" w:cs="Times New Roman"/>
          <w:sz w:val="24"/>
          <w:szCs w:val="24"/>
        </w:rPr>
        <w:t>ergovernmental nature of the processes, are integral to the implementation and delivery of its ambitious mandate.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This is expressed through a number of participatory rights for Major Groups formulated by this resolution. </w:t>
      </w:r>
      <w:r>
        <w:rPr>
          <w:rFonts w:ascii="Times New Roman" w:eastAsia="Times New Roman" w:hAnsi="Times New Roman" w:cs="Times New Roman"/>
          <w:b/>
          <w:sz w:val="24"/>
          <w:szCs w:val="24"/>
        </w:rPr>
        <w:t>The HLPF is now the focal point for sustainable development at the UN, the home of the SDGs (see below) and will coordinate implementation of 2030 Agenda for Sustainable Development.</w:t>
      </w:r>
      <w:r>
        <w:rPr>
          <w:rFonts w:ascii="Times New Roman" w:eastAsia="Times New Roman" w:hAnsi="Times New Roman" w:cs="Times New Roman"/>
          <w:b/>
          <w:color w:val="92D050"/>
          <w:sz w:val="24"/>
          <w:szCs w:val="24"/>
        </w:rPr>
        <w:t xml:space="preserve"> </w:t>
      </w:r>
      <w:r>
        <w:rPr>
          <w:rFonts w:ascii="Times New Roman" w:eastAsia="Times New Roman" w:hAnsi="Times New Roman" w:cs="Times New Roman"/>
          <w:b/>
          <w:sz w:val="24"/>
          <w:szCs w:val="24"/>
        </w:rPr>
        <w:t xml:space="preserve">It is also the basis for the Major Groups’ work at the UN in the context </w:t>
      </w:r>
      <w:r>
        <w:rPr>
          <w:rFonts w:ascii="Times New Roman" w:eastAsia="Times New Roman" w:hAnsi="Times New Roman" w:cs="Times New Roman"/>
          <w:b/>
          <w:sz w:val="24"/>
          <w:szCs w:val="24"/>
        </w:rPr>
        <w:t xml:space="preserve">of the 2030 Agenda for Sustainable Development.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of the fourteen processes initiated by Rio+20 was the development of the Sustainable Development Goals, (the SDGs), which were developed through the Open Working Group process on the Sustainable Deve</w:t>
      </w:r>
      <w:r>
        <w:rPr>
          <w:rFonts w:ascii="Times New Roman" w:eastAsia="Times New Roman" w:hAnsi="Times New Roman" w:cs="Times New Roman"/>
          <w:sz w:val="24"/>
          <w:szCs w:val="24"/>
        </w:rPr>
        <w:t xml:space="preserve">lopment Goals (the OWG SDG). The SDGs are seen as the </w:t>
      </w:r>
      <w:r>
        <w:rPr>
          <w:rFonts w:ascii="Times New Roman" w:eastAsia="Times New Roman" w:hAnsi="Times New Roman" w:cs="Times New Roman"/>
          <w:sz w:val="24"/>
          <w:szCs w:val="24"/>
        </w:rPr>
        <w:lastRenderedPageBreak/>
        <w:t>major elements of the Post 2015 Development Agenda, and the OWG SDG terminated its work in June 2014 agreeing to 17 SDGs. The increased interest in sustainable development in general, and in the SDGs in</w:t>
      </w:r>
      <w:r>
        <w:rPr>
          <w:rFonts w:ascii="Times New Roman" w:eastAsia="Times New Roman" w:hAnsi="Times New Roman" w:cs="Times New Roman"/>
          <w:sz w:val="24"/>
          <w:szCs w:val="24"/>
        </w:rPr>
        <w:t xml:space="preserve"> particular, put pressure on the existing Major Groups structure including the Organizing Partner (hereinafter referred to as “OP”) system and resulted in a call for more inclusivity as reflected in the “other relevant stakeholders” phrase found throughout</w:t>
      </w:r>
      <w:r>
        <w:rPr>
          <w:rFonts w:ascii="Times New Roman" w:eastAsia="Times New Roman" w:hAnsi="Times New Roman" w:cs="Times New Roman"/>
          <w:sz w:val="24"/>
          <w:szCs w:val="24"/>
        </w:rPr>
        <w:t xml:space="preserve"> the Rio+20 Outcome Document.  A United Nations Department of Economic and Social Affairs/Division for Sustainable  Development (hereinafter referred to as “DESA/DSD”) commissioned paper on the Major Groups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resulted in nineteen recommendations, one of whi</w:t>
      </w:r>
      <w:r>
        <w:rPr>
          <w:rFonts w:ascii="Times New Roman" w:eastAsia="Times New Roman" w:hAnsi="Times New Roman" w:cs="Times New Roman"/>
          <w:sz w:val="24"/>
          <w:szCs w:val="24"/>
        </w:rPr>
        <w:t>ch was to improve governance structures, to ensure transparency and openness. Another was to further support the NGO Major Group.</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respond to these recommendations, and in line with the “Criteria for Eligibility, Roles and Responsibilities for the Major </w:t>
      </w:r>
      <w:r>
        <w:rPr>
          <w:rFonts w:ascii="Times New Roman" w:eastAsia="Times New Roman" w:hAnsi="Times New Roman" w:cs="Times New Roman"/>
          <w:sz w:val="24"/>
          <w:szCs w:val="24"/>
        </w:rPr>
        <w:t xml:space="preserve">Groups” as outlined by the DESA/DSD, this document further outlines and defines a system according to which the Organizing Partners of the NGO Major Group programme will be identified, function and work. Their functions must be in line with accepted codes </w:t>
      </w:r>
      <w:r>
        <w:rPr>
          <w:rFonts w:ascii="Times New Roman" w:eastAsia="Times New Roman" w:hAnsi="Times New Roman" w:cs="Times New Roman"/>
          <w:sz w:val="24"/>
          <w:szCs w:val="24"/>
        </w:rPr>
        <w:t xml:space="preserve">of conduct and governance principles, found in the repository of DESA/DSD and the Major Groups programme. </w:t>
      </w:r>
    </w:p>
    <w:p w:rsidR="00D15F94" w:rsidRDefault="00123C6C">
      <w:r>
        <w:rPr>
          <w:rFonts w:ascii="Times New Roman" w:eastAsia="Times New Roman" w:hAnsi="Times New Roman" w:cs="Times New Roman"/>
          <w:b/>
          <w:sz w:val="28"/>
          <w:szCs w:val="28"/>
        </w:rPr>
        <w:t>II - The NGO Major Group OP role, functions, responsibilities</w:t>
      </w:r>
    </w:p>
    <w:p w:rsidR="00D15F94" w:rsidRDefault="00123C6C">
      <w:pPr>
        <w:numPr>
          <w:ilvl w:val="0"/>
          <w:numId w:val="5"/>
        </w:numPr>
        <w:ind w:hanging="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Role</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Referring to Agenda 21 establishing the nine Major Groups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ECOSOC resolution E/19</w:t>
      </w:r>
      <w:r>
        <w:rPr>
          <w:rFonts w:ascii="Times New Roman" w:eastAsia="Times New Roman" w:hAnsi="Times New Roman" w:cs="Times New Roman"/>
          <w:sz w:val="24"/>
          <w:szCs w:val="24"/>
        </w:rPr>
        <w:t>93/207 of 12 February 1993 establishing the Commission for Sustainable Development (CSD) and giving the Major Groups a formal role, further referencing paragraph 84 of the Rio+20 Outcome Document including the UNGA resolution, 67/290, establishing the HLPF</w:t>
      </w:r>
      <w:r>
        <w:rPr>
          <w:rFonts w:ascii="Times New Roman" w:eastAsia="Times New Roman" w:hAnsi="Times New Roman" w:cs="Times New Roman"/>
          <w:sz w:val="24"/>
          <w:szCs w:val="24"/>
        </w:rPr>
        <w:t xml:space="preserve"> legitimizing the Major Groups system, these terms of reference provide the criteria, mandate and functions of the OPs of the NGO Major Group. The OPs represent NGOs and collaborate and coordinate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directly with DESA/DSD as the designated secretariat for th</w:t>
      </w:r>
      <w:r>
        <w:rPr>
          <w:rFonts w:ascii="Times New Roman" w:eastAsia="Times New Roman" w:hAnsi="Times New Roman" w:cs="Times New Roman"/>
          <w:sz w:val="24"/>
          <w:szCs w:val="24"/>
        </w:rPr>
        <w:t>e SDGs/2030 Sustainable Development Agenda, and is hence the primary secretariat for the Major Groups.</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work of all OPs including their Major Groups is in the context of the HLPF and as such the SDGs/2030 Sustainable Development Agenda. The resolution e</w:t>
      </w:r>
      <w:r>
        <w:rPr>
          <w:rFonts w:ascii="Times New Roman" w:eastAsia="Times New Roman" w:hAnsi="Times New Roman" w:cs="Times New Roman"/>
          <w:sz w:val="24"/>
          <w:szCs w:val="24"/>
        </w:rPr>
        <w:t>stablishing the HLPF (67/290) affords the Major Groups a number of participatory privileges including concrete tasks to be performed (see paragraphs 8C, 13, 14, 15, 16, 22 and 24). This also defines and legitimizes their field of</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and responsibilities.</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20 September 2013, the General Assembly adopted resolution</w:t>
      </w:r>
      <w:hyperlink r:id="rId8">
        <w:r>
          <w:rPr>
            <w:rFonts w:ascii="Times New Roman" w:eastAsia="Times New Roman" w:hAnsi="Times New Roman" w:cs="Times New Roman"/>
            <w:color w:val="0000FF"/>
            <w:sz w:val="24"/>
            <w:szCs w:val="24"/>
            <w:u w:val="single"/>
          </w:rPr>
          <w:t xml:space="preserve"> 68/1</w:t>
        </w:r>
      </w:hyperlink>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"Review of the implementation of General Assembly resolution 61/16 on the strengthening of the Economic and Social Council"</w:t>
      </w:r>
      <w:r>
        <w:rPr>
          <w:rFonts w:ascii="Times New Roman" w:eastAsia="Times New Roman" w:hAnsi="Times New Roman" w:cs="Times New Roman"/>
          <w:sz w:val="24"/>
          <w:szCs w:val="24"/>
        </w:rPr>
        <w:t xml:space="preserve"> that constitutes the most far-reaching reform of the Economic and Social Council since 1991. In paragraph 23, the resolution affirms, “While retaining its intergovernmental nature, the Economic and Social Council shall seek to promote the active participa</w:t>
      </w:r>
      <w:r>
        <w:rPr>
          <w:rFonts w:ascii="Times New Roman" w:eastAsia="Times New Roman" w:hAnsi="Times New Roman" w:cs="Times New Roman"/>
          <w:sz w:val="24"/>
          <w:szCs w:val="24"/>
        </w:rPr>
        <w:t>tion of major groups, non-governmental organizations, other relevant stakeholders and regional organizations in the activities of the Council and its functional and regional commissions, in accordance with the provisions of their respective rules of proced</w:t>
      </w:r>
      <w:r>
        <w:rPr>
          <w:rFonts w:ascii="Times New Roman" w:eastAsia="Times New Roman" w:hAnsi="Times New Roman" w:cs="Times New Roman"/>
          <w:sz w:val="24"/>
          <w:szCs w:val="24"/>
        </w:rPr>
        <w:t>ure and the provisions of General Assembly resolution 67/290 insofar as it pertains to the meetings of the high-level political forum on sustainable development under the auspices of the Council.”</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At the UN Summit Sustainable Development Summit 2015, 25-27</w:t>
      </w:r>
      <w:r>
        <w:rPr>
          <w:rFonts w:ascii="Times New Roman" w:eastAsia="Times New Roman" w:hAnsi="Times New Roman" w:cs="Times New Roman"/>
          <w:sz w:val="24"/>
          <w:szCs w:val="24"/>
        </w:rPr>
        <w:t xml:space="preserve"> September, governments adopted the Declaration, “Transforming Our World: The 2030 Agenda for Sustainable Development,” on a “comprehensive, far-reaching and people-centred set of universal and transformative Goals and targets.”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outcome document affir</w:t>
      </w:r>
      <w:r>
        <w:rPr>
          <w:rFonts w:ascii="Times New Roman" w:eastAsia="Times New Roman" w:hAnsi="Times New Roman" w:cs="Times New Roman"/>
          <w:sz w:val="24"/>
          <w:szCs w:val="24"/>
        </w:rPr>
        <w:t>ms that the HLPF “will have the central role in overseeing follow-up and review at the global level.” Moreover, governments are encouraged to “conduct regular and inclusive reviews of progress at the national and sub-national levels,” to “draw on contribut</w:t>
      </w:r>
      <w:r>
        <w:rPr>
          <w:rFonts w:ascii="Times New Roman" w:eastAsia="Times New Roman" w:hAnsi="Times New Roman" w:cs="Times New Roman"/>
          <w:sz w:val="24"/>
          <w:szCs w:val="24"/>
        </w:rPr>
        <w:t>ions from indigenous peoples, civil society, the private sector and other stakeholders, in line with national circumstances, policies and priorities.”</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the OPs will be facilitative and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representative. Given the number and diversity of NGOs that </w:t>
      </w:r>
      <w:r>
        <w:rPr>
          <w:rFonts w:ascii="Times New Roman" w:eastAsia="Times New Roman" w:hAnsi="Times New Roman" w:cs="Times New Roman"/>
          <w:sz w:val="24"/>
          <w:szCs w:val="24"/>
        </w:rPr>
        <w:t>comprise this Major Group, OPs are expected to remain neutral, take a holistic approach by assisting and facilitating the participation of all NGOs within the NGO constituency. The role of the OPs entails assisting and facilitating participation of the NGO</w:t>
      </w:r>
      <w:r>
        <w:rPr>
          <w:rFonts w:ascii="Times New Roman" w:eastAsia="Times New Roman" w:hAnsi="Times New Roman" w:cs="Times New Roman"/>
          <w:sz w:val="24"/>
          <w:szCs w:val="24"/>
        </w:rPr>
        <w:t xml:space="preserve"> Major Group in the intergovernmental processes at the UN in a broad sense. Advocating for the active role of NGOs accredited to the HLPF is their overarching responsibility, as well as to protect and strengthen the space for civil society at the UN.</w:t>
      </w:r>
    </w:p>
    <w:p w:rsidR="00D15F94" w:rsidRDefault="00D15F94"/>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NGO Major Group OP role includes a number of components, which are, inter alia, based on those outlined in the United Nations Department of Economic and Social Affairs’ “Note on Major Groups Governance” (2013):</w:t>
      </w:r>
    </w:p>
    <w:p w:rsidR="00D15F94" w:rsidRDefault="00123C6C">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Consultation with NGO Major Group</w:t>
      </w:r>
    </w:p>
    <w:p w:rsidR="00D15F94" w:rsidRDefault="00123C6C">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outreach and advocacy</w:t>
      </w:r>
    </w:p>
    <w:p w:rsidR="00D15F94" w:rsidRDefault="00123C6C">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Resource mobilization</w:t>
      </w:r>
    </w:p>
    <w:p w:rsidR="00D15F94" w:rsidRDefault="00123C6C">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Liaison with the United Nations Department of Economic and Social Affairs, in particular its Division for Sustainable Development.  </w:t>
      </w:r>
    </w:p>
    <w:p w:rsidR="00D15F94" w:rsidRDefault="00123C6C">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Coordination and comm</w:t>
      </w:r>
      <w:r>
        <w:rPr>
          <w:rFonts w:ascii="Times New Roman" w:eastAsia="Times New Roman" w:hAnsi="Times New Roman" w:cs="Times New Roman"/>
          <w:sz w:val="24"/>
          <w:szCs w:val="24"/>
        </w:rPr>
        <w:t xml:space="preserve">unication </w:t>
      </w:r>
      <w:r>
        <w:rPr>
          <w:rFonts w:ascii="Times New Roman" w:eastAsia="Times New Roman" w:hAnsi="Times New Roman" w:cs="Times New Roman"/>
          <w:sz w:val="24"/>
          <w:szCs w:val="24"/>
        </w:rPr>
        <w:t>with other Major Group/Stak</w:t>
      </w:r>
      <w:r>
        <w:rPr>
          <w:rFonts w:ascii="Times New Roman" w:eastAsia="Times New Roman" w:hAnsi="Times New Roman" w:cs="Times New Roman"/>
          <w:sz w:val="24"/>
          <w:szCs w:val="24"/>
        </w:rPr>
        <w:t>eholde</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Organizing Partners &amp; </w:t>
      </w:r>
      <w:r>
        <w:rPr>
          <w:rFonts w:ascii="Times New Roman" w:eastAsia="Times New Roman" w:hAnsi="Times New Roman" w:cs="Times New Roman"/>
          <w:sz w:val="24"/>
          <w:szCs w:val="24"/>
        </w:rPr>
        <w:t xml:space="preserve">Focal Points for the HLPF and other intergovernmental bodies.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NGO Major Group OP role also includes identification of and reaching out to new member organizations within global and regional networks, and ensuring appropriate en</w:t>
      </w:r>
      <w:r>
        <w:rPr>
          <w:rFonts w:ascii="Times New Roman" w:eastAsia="Times New Roman" w:hAnsi="Times New Roman" w:cs="Times New Roman"/>
          <w:sz w:val="24"/>
          <w:szCs w:val="24"/>
        </w:rPr>
        <w:t>gagement at the global and regional levels.</w:t>
      </w:r>
    </w:p>
    <w:p w:rsidR="00D15F94" w:rsidRDefault="00123C6C">
      <w:pPr>
        <w:numPr>
          <w:ilvl w:val="0"/>
          <w:numId w:val="5"/>
        </w:numPr>
        <w:ind w:hanging="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Functions and responsibilities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Partners, through the Facilitation Committee, perform and have the following functions and responsibilities: </w:t>
      </w:r>
    </w:p>
    <w:p w:rsidR="00D15F94" w:rsidRDefault="00123C6C">
      <w:pPr>
        <w:numPr>
          <w:ilvl w:val="6"/>
          <w:numId w:val="10"/>
        </w:numPr>
        <w:ind w:left="1080" w:hanging="360"/>
        <w:rPr>
          <w:sz w:val="24"/>
          <w:szCs w:val="24"/>
          <w:u w:val="single"/>
        </w:rPr>
      </w:pPr>
      <w:r>
        <w:rPr>
          <w:rFonts w:ascii="Times New Roman" w:eastAsia="Times New Roman" w:hAnsi="Times New Roman" w:cs="Times New Roman"/>
          <w:sz w:val="24"/>
          <w:szCs w:val="24"/>
          <w:u w:val="single"/>
        </w:rPr>
        <w:t>Consultation with NGO Major Group</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 xml:space="preserve">Coordinate and facilitate the registration and participation of NGO representatives at the HLPF and other relevant UN sustainable development processes; </w:t>
      </w:r>
      <w:r>
        <w:rPr>
          <w:rFonts w:ascii="Times New Roman" w:eastAsia="Times New Roman" w:hAnsi="Times New Roman" w:cs="Times New Roman"/>
          <w:sz w:val="24"/>
          <w:szCs w:val="24"/>
        </w:rPr>
        <w:t>be responsible for the selection of NGO speakers during the meetings.</w:t>
      </w:r>
    </w:p>
    <w:p w:rsidR="00D15F94" w:rsidRDefault="00123C6C">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annual ‘roadmap’ that wou</w:t>
      </w:r>
      <w:r>
        <w:rPr>
          <w:rFonts w:ascii="Times New Roman" w:eastAsia="Times New Roman" w:hAnsi="Times New Roman" w:cs="Times New Roman"/>
          <w:sz w:val="24"/>
          <w:szCs w:val="24"/>
        </w:rPr>
        <w:t>ld provide strategic direction and technical guidance so NGOs will be able to maximize their preparation and participation in all UN sustainable development negotiations and processes;</w:t>
      </w:r>
    </w:p>
    <w:p w:rsidR="00D15F94" w:rsidRDefault="00123C6C">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Consult with global/regional/national NGO networks to prepare written i</w:t>
      </w:r>
      <w:r>
        <w:rPr>
          <w:rFonts w:ascii="Times New Roman" w:eastAsia="Times New Roman" w:hAnsi="Times New Roman" w:cs="Times New Roman"/>
          <w:sz w:val="24"/>
          <w:szCs w:val="24"/>
        </w:rPr>
        <w:t>nputs to the intergovernmental process in the form of position papers and priorities for action papers addressing the themes of sustainable development under discussion, including cross-sectoral themes that reflect views on progress made, outline obstacles</w:t>
      </w:r>
      <w:r>
        <w:rPr>
          <w:rFonts w:ascii="Times New Roman" w:eastAsia="Times New Roman" w:hAnsi="Times New Roman" w:cs="Times New Roman"/>
          <w:sz w:val="24"/>
          <w:szCs w:val="24"/>
        </w:rPr>
        <w:t xml:space="preserve"> and constraints to implementation, and identify emerging issues and new challenges;</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Identify NGO expertise in the field of sustainable development and channel best practices, expert advice, and policy recommendations to relevant intergovernmental processe</w:t>
      </w:r>
      <w:r>
        <w:rPr>
          <w:rFonts w:ascii="Times New Roman" w:eastAsia="Times New Roman" w:hAnsi="Times New Roman" w:cs="Times New Roman"/>
          <w:sz w:val="24"/>
          <w:szCs w:val="24"/>
        </w:rPr>
        <w:t>s;</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 xml:space="preserve">Ensure the provision of guidance for working structures, such as thematic clusters, task forces and working groups as necessary; </w:t>
      </w:r>
    </w:p>
    <w:p w:rsidR="00D15F94" w:rsidRDefault="00123C6C">
      <w:pPr>
        <w:numPr>
          <w:ilvl w:val="6"/>
          <w:numId w:val="10"/>
        </w:numPr>
        <w:ind w:left="1080" w:hanging="360"/>
        <w:rPr>
          <w:sz w:val="24"/>
          <w:szCs w:val="24"/>
          <w:u w:val="single"/>
        </w:rPr>
      </w:pPr>
      <w:r>
        <w:rPr>
          <w:rFonts w:ascii="Times New Roman" w:eastAsia="Times New Roman" w:hAnsi="Times New Roman" w:cs="Times New Roman"/>
          <w:sz w:val="24"/>
          <w:szCs w:val="24"/>
          <w:u w:val="single"/>
        </w:rPr>
        <w:t xml:space="preserve">Communication, outreach, advocacy </w:t>
      </w:r>
    </w:p>
    <w:p w:rsidR="00D15F94" w:rsidRDefault="00123C6C">
      <w:pPr>
        <w:numPr>
          <w:ilvl w:val="0"/>
          <w:numId w:val="7"/>
        </w:numPr>
        <w:ind w:hanging="360"/>
        <w:rPr>
          <w:sz w:val="24"/>
          <w:szCs w:val="24"/>
          <w:u w:val="single"/>
        </w:rPr>
      </w:pPr>
      <w:r>
        <w:rPr>
          <w:rFonts w:ascii="Times New Roman" w:eastAsia="Times New Roman" w:hAnsi="Times New Roman" w:cs="Times New Roman"/>
          <w:sz w:val="24"/>
          <w:szCs w:val="24"/>
        </w:rPr>
        <w:t>Provide regular updates and disseminate relevant information to the NGO Major Group;</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lastRenderedPageBreak/>
        <w:t>Dev</w:t>
      </w:r>
      <w:r>
        <w:rPr>
          <w:rFonts w:ascii="Times New Roman" w:eastAsia="Times New Roman" w:hAnsi="Times New Roman" w:cs="Times New Roman"/>
          <w:sz w:val="24"/>
          <w:szCs w:val="24"/>
        </w:rPr>
        <w:t>elop training programs so that NGOs will be able to maximize their understanding and presence at the HLPF and other intergovernmental processes designed to implement, monitor and review the 2030 Sustainable Development Agenda and follow up of the other Rio</w:t>
      </w:r>
      <w:r>
        <w:rPr>
          <w:rFonts w:ascii="Times New Roman" w:eastAsia="Times New Roman" w:hAnsi="Times New Roman" w:cs="Times New Roman"/>
          <w:sz w:val="24"/>
          <w:szCs w:val="24"/>
        </w:rPr>
        <w:t>+20 outcomes;</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Establish and maintain NGO Major Group website, Facebook, Twitter and other relevant social media platforms;</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Produce an Annual Report of the activities of the NGO Major Group to be placed on the NGO Major Group website and disseminated to rel</w:t>
      </w:r>
      <w:r>
        <w:rPr>
          <w:rFonts w:ascii="Times New Roman" w:eastAsia="Times New Roman" w:hAnsi="Times New Roman" w:cs="Times New Roman"/>
          <w:sz w:val="24"/>
          <w:szCs w:val="24"/>
        </w:rPr>
        <w:t>evant UN agencies and all missions;</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Invite NGO communication officers to help prepare and execute media strategies as necessary.</w:t>
      </w:r>
    </w:p>
    <w:p w:rsidR="00D15F94" w:rsidRDefault="00123C6C">
      <w:pPr>
        <w:numPr>
          <w:ilvl w:val="6"/>
          <w:numId w:val="10"/>
        </w:numPr>
        <w:ind w:left="1080" w:hanging="360"/>
        <w:rPr>
          <w:sz w:val="24"/>
          <w:szCs w:val="24"/>
          <w:u w:val="single"/>
        </w:rPr>
      </w:pPr>
      <w:r>
        <w:rPr>
          <w:rFonts w:ascii="Times New Roman" w:eastAsia="Times New Roman" w:hAnsi="Times New Roman" w:cs="Times New Roman"/>
          <w:sz w:val="24"/>
          <w:szCs w:val="24"/>
          <w:u w:val="single"/>
        </w:rPr>
        <w:t>Resource Mobilization</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 xml:space="preserve">In partnership with DESA/DSD, </w:t>
      </w:r>
      <w:r>
        <w:rPr>
          <w:rFonts w:ascii="Times New Roman" w:eastAsia="Times New Roman" w:hAnsi="Times New Roman" w:cs="Times New Roman"/>
          <w:sz w:val="24"/>
          <w:szCs w:val="24"/>
        </w:rPr>
        <w:t xml:space="preserve">and if appropriate with other major groups &amp; stakeholders, </w:t>
      </w:r>
      <w:r>
        <w:rPr>
          <w:rFonts w:ascii="Times New Roman" w:eastAsia="Times New Roman" w:hAnsi="Times New Roman" w:cs="Times New Roman"/>
          <w:sz w:val="24"/>
          <w:szCs w:val="24"/>
        </w:rPr>
        <w:t xml:space="preserve">raise funds for </w:t>
      </w:r>
      <w:r>
        <w:rPr>
          <w:rFonts w:ascii="Times New Roman" w:eastAsia="Times New Roman" w:hAnsi="Times New Roman" w:cs="Times New Roman"/>
          <w:sz w:val="24"/>
          <w:szCs w:val="24"/>
        </w:rPr>
        <w:t>travel, capacity-building, communications, outreach and advocacy;</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 xml:space="preserve">Ensure funding </w:t>
      </w:r>
      <w:r>
        <w:rPr>
          <w:rFonts w:ascii="Times New Roman" w:eastAsia="Times New Roman" w:hAnsi="Times New Roman" w:cs="Times New Roman"/>
          <w:sz w:val="24"/>
          <w:szCs w:val="24"/>
        </w:rPr>
        <w:t xml:space="preserve">for the participation of selected </w:t>
      </w:r>
      <w:r>
        <w:rPr>
          <w:rFonts w:ascii="Times New Roman" w:eastAsia="Times New Roman" w:hAnsi="Times New Roman" w:cs="Times New Roman"/>
          <w:sz w:val="24"/>
          <w:szCs w:val="24"/>
        </w:rPr>
        <w:t>of NGO speakers and participants that is inclusive, balanced, transparent and fair.</w:t>
      </w:r>
    </w:p>
    <w:p w:rsidR="00D15F94" w:rsidRDefault="00123C6C">
      <w:pPr>
        <w:numPr>
          <w:ilvl w:val="6"/>
          <w:numId w:val="10"/>
        </w:numPr>
        <w:ind w:left="1080" w:hanging="360"/>
        <w:rPr>
          <w:sz w:val="24"/>
          <w:szCs w:val="24"/>
          <w:u w:val="single"/>
        </w:rPr>
      </w:pPr>
      <w:r>
        <w:rPr>
          <w:rFonts w:ascii="Times New Roman" w:eastAsia="Times New Roman" w:hAnsi="Times New Roman" w:cs="Times New Roman"/>
          <w:sz w:val="24"/>
          <w:szCs w:val="24"/>
          <w:u w:val="single"/>
        </w:rPr>
        <w:t>Liaison with UN DESA/DSD</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Liaise with UN Secretariat, in particular with Stakeholder Engagement Programme of DESA/DSD;</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Uphold the code of conduct as stipulated by the UN and ensure NGO constituencies are aware of UN rules and procedures and protocols;</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Engage with DESA/DSD on a cont</w:t>
      </w:r>
      <w:r>
        <w:rPr>
          <w:rFonts w:ascii="Times New Roman" w:eastAsia="Times New Roman" w:hAnsi="Times New Roman" w:cs="Times New Roman"/>
          <w:sz w:val="24"/>
          <w:szCs w:val="24"/>
        </w:rPr>
        <w:t>inual basis on planning activities, requiring timely response to emails, outreach constituencies, active leadership in the production of reports and written documents and regular attendance and contribution to Major Groups OPs monthly meetings with DESA/DS</w:t>
      </w:r>
      <w:r>
        <w:rPr>
          <w:rFonts w:ascii="Times New Roman" w:eastAsia="Times New Roman" w:hAnsi="Times New Roman" w:cs="Times New Roman"/>
          <w:sz w:val="24"/>
          <w:szCs w:val="24"/>
        </w:rPr>
        <w:t>D;</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Make publicly available all r</w:t>
      </w:r>
      <w:r>
        <w:rPr>
          <w:rFonts w:ascii="Times New Roman" w:eastAsia="Times New Roman" w:hAnsi="Times New Roman" w:cs="Times New Roman"/>
          <w:sz w:val="24"/>
          <w:szCs w:val="24"/>
        </w:rPr>
        <w:t>eports submitted to DESA/DSD on the NGO MG &amp; DSD websites. This should include the particulars of outreach to regional/national networks, communications, accountability practices, representation and decision-making processes</w:t>
      </w:r>
      <w:r>
        <w:rPr>
          <w:rFonts w:ascii="Times New Roman" w:eastAsia="Times New Roman" w:hAnsi="Times New Roman" w:cs="Times New Roman"/>
          <w:sz w:val="24"/>
          <w:szCs w:val="24"/>
        </w:rPr>
        <w:t xml:space="preserve">; </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t>Assist DESA/DSD with outreach through active use of the Sustainable Development Knowledge Platform, Facebook and Twitter channels when feasible.</w:t>
      </w:r>
    </w:p>
    <w:p w:rsidR="00D15F94" w:rsidRDefault="00123C6C">
      <w:pPr>
        <w:numPr>
          <w:ilvl w:val="6"/>
          <w:numId w:val="10"/>
        </w:numPr>
        <w:ind w:left="1080" w:hanging="360"/>
        <w:rPr>
          <w:sz w:val="24"/>
          <w:szCs w:val="24"/>
          <w:u w:val="single"/>
        </w:rPr>
      </w:pPr>
      <w:r>
        <w:rPr>
          <w:rFonts w:ascii="Times New Roman" w:eastAsia="Times New Roman" w:hAnsi="Times New Roman" w:cs="Times New Roman"/>
          <w:sz w:val="24"/>
          <w:szCs w:val="24"/>
          <w:u w:val="single"/>
        </w:rPr>
        <w:t>Coordination with other Organizing Partners of other Major Groups and Other Stakeholders</w:t>
      </w:r>
    </w:p>
    <w:p w:rsidR="00D15F94" w:rsidRDefault="00123C6C">
      <w:pPr>
        <w:numPr>
          <w:ilvl w:val="0"/>
          <w:numId w:val="7"/>
        </w:numPr>
        <w:ind w:hanging="360"/>
        <w:rPr>
          <w:sz w:val="24"/>
          <w:szCs w:val="24"/>
        </w:rPr>
      </w:pPr>
      <w:r>
        <w:rPr>
          <w:rFonts w:ascii="Times New Roman" w:eastAsia="Times New Roman" w:hAnsi="Times New Roman" w:cs="Times New Roman"/>
          <w:sz w:val="24"/>
          <w:szCs w:val="24"/>
        </w:rPr>
        <w:lastRenderedPageBreak/>
        <w:t>Maintain regular co</w:t>
      </w:r>
      <w:r>
        <w:rPr>
          <w:rFonts w:ascii="Times New Roman" w:eastAsia="Times New Roman" w:hAnsi="Times New Roman" w:cs="Times New Roman"/>
          <w:sz w:val="24"/>
          <w:szCs w:val="24"/>
        </w:rPr>
        <w:t>ordination with other OPs within Major Groups and Other Stakeholders, including through the development of joint work plans, as appropriate.</w:t>
      </w:r>
    </w:p>
    <w:p w:rsidR="00D15F94" w:rsidRDefault="00123C6C">
      <w:pPr>
        <w:jc w:val="both"/>
      </w:pPr>
      <w:r>
        <w:rPr>
          <w:rFonts w:ascii="Times New Roman" w:eastAsia="Times New Roman" w:hAnsi="Times New Roman" w:cs="Times New Roman"/>
          <w:b/>
          <w:sz w:val="28"/>
          <w:szCs w:val="28"/>
        </w:rPr>
        <w:t>III.</w:t>
      </w:r>
      <w:r>
        <w:rPr>
          <w:rFonts w:ascii="Times New Roman" w:eastAsia="Times New Roman" w:hAnsi="Times New Roman" w:cs="Times New Roman"/>
          <w:b/>
          <w:sz w:val="28"/>
          <w:szCs w:val="28"/>
        </w:rPr>
        <w:tab/>
        <w:t xml:space="preserve">NGO Major Group Facilitation Committee </w:t>
      </w:r>
    </w:p>
    <w:p w:rsidR="00D15F94" w:rsidRDefault="00123C6C">
      <w:pPr>
        <w:jc w:val="both"/>
      </w:pPr>
      <w:r>
        <w:rPr>
          <w:rFonts w:ascii="Times New Roman" w:eastAsia="Times New Roman" w:hAnsi="Times New Roman" w:cs="Times New Roman"/>
          <w:sz w:val="24"/>
          <w:szCs w:val="24"/>
        </w:rPr>
        <w:t>The Facilitation Committee is the body that coordinates and facilitates the activities of the NGO Major Group.  Its structure and membership are described below.  The responsibilities of its members, namely the Global and Regional Organizing Partners and T</w:t>
      </w:r>
      <w:r>
        <w:rPr>
          <w:rFonts w:ascii="Times New Roman" w:eastAsia="Times New Roman" w:hAnsi="Times New Roman" w:cs="Times New Roman"/>
          <w:sz w:val="24"/>
          <w:szCs w:val="24"/>
        </w:rPr>
        <w:t>hematic Cluster Coordinators, are also described below.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Facilitation Committee is also responsible for approving the Nomination Committee and its recommendations.</w:t>
      </w:r>
    </w:p>
    <w:p w:rsidR="00D15F94" w:rsidRDefault="00123C6C">
      <w:pPr>
        <w:jc w:val="both"/>
      </w:pPr>
      <w:r>
        <w:rPr>
          <w:rFonts w:ascii="Times New Roman" w:eastAsia="Times New Roman" w:hAnsi="Times New Roman" w:cs="Times New Roman"/>
          <w:sz w:val="24"/>
          <w:szCs w:val="24"/>
        </w:rPr>
        <w:t xml:space="preserve">The Facilitation Committee is responsible for facilitating coordinated </w:t>
      </w:r>
      <w:r>
        <w:rPr>
          <w:rFonts w:ascii="Times New Roman" w:eastAsia="Times New Roman" w:hAnsi="Times New Roman" w:cs="Times New Roman"/>
          <w:sz w:val="24"/>
          <w:szCs w:val="24"/>
        </w:rPr>
        <w:t>advocacy and polic</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positions of the NGO Major Group and for mapping out engagement opportunities, including the preparation of an annual roadmap for action to be taken.</w:t>
      </w:r>
    </w:p>
    <w:p w:rsidR="00D15F94" w:rsidRDefault="00123C6C">
      <w:pPr>
        <w:numPr>
          <w:ilvl w:val="0"/>
          <w:numId w:val="9"/>
        </w:numPr>
        <w:spacing w:after="0"/>
        <w:ind w:hanging="36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Structure</w:t>
      </w:r>
    </w:p>
    <w:p w:rsidR="00D15F94" w:rsidRDefault="00D15F94">
      <w:pPr>
        <w:spacing w:after="0"/>
        <w:ind w:left="72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NGO Major Group Facilitation Committee shall be comprised of global OPs, regional OPs, an</w:t>
      </w:r>
      <w:r>
        <w:rPr>
          <w:rFonts w:ascii="Times New Roman" w:eastAsia="Times New Roman" w:hAnsi="Times New Roman" w:cs="Times New Roman"/>
          <w:sz w:val="24"/>
          <w:szCs w:val="24"/>
        </w:rPr>
        <w:t xml:space="preserve">d Thematic Cluster Coordinators, as follows: </w:t>
      </w:r>
    </w:p>
    <w:p w:rsidR="00D15F94" w:rsidRDefault="00D15F94">
      <w:pPr>
        <w:spacing w:after="0"/>
        <w:ind w:left="720"/>
        <w:jc w:val="both"/>
      </w:pPr>
    </w:p>
    <w:p w:rsidR="00D15F94" w:rsidRDefault="00123C6C">
      <w:pPr>
        <w:numPr>
          <w:ilvl w:val="1"/>
          <w:numId w:val="7"/>
        </w:numPr>
        <w:spacing w:after="0"/>
        <w:ind w:left="72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 to </w:t>
      </w:r>
      <w:r>
        <w:rPr>
          <w:rFonts w:ascii="Times New Roman" w:eastAsia="Times New Roman" w:hAnsi="Times New Roman" w:cs="Times New Roman"/>
          <w:sz w:val="24"/>
          <w:szCs w:val="24"/>
          <w:u w:val="single"/>
        </w:rPr>
        <w:t xml:space="preserve">3 Global OPs </w:t>
      </w:r>
      <w:r>
        <w:rPr>
          <w:rFonts w:ascii="Times New Roman" w:eastAsia="Times New Roman" w:hAnsi="Times New Roman" w:cs="Times New Roman"/>
          <w:sz w:val="24"/>
          <w:szCs w:val="24"/>
        </w:rPr>
        <w:t>(North/South/East/Wes</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gender and “issue” balance)</w:t>
      </w:r>
    </w:p>
    <w:p w:rsidR="00D15F94" w:rsidRDefault="00D15F94">
      <w:pPr>
        <w:spacing w:after="0"/>
        <w:ind w:left="1440"/>
        <w:jc w:val="both"/>
      </w:pPr>
    </w:p>
    <w:p w:rsidR="00D15F94" w:rsidRDefault="00123C6C">
      <w:pPr>
        <w:numPr>
          <w:ilvl w:val="1"/>
          <w:numId w:val="7"/>
        </w:numPr>
        <w:spacing w:after="0"/>
        <w:ind w:left="720"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Up to </w:t>
      </w:r>
      <w:r>
        <w:rPr>
          <w:rFonts w:ascii="Times New Roman" w:eastAsia="Times New Roman" w:hAnsi="Times New Roman" w:cs="Times New Roman"/>
          <w:sz w:val="24"/>
          <w:szCs w:val="24"/>
          <w:highlight w:val="white"/>
          <w:u w:val="single"/>
        </w:rPr>
        <w:t>9</w:t>
      </w:r>
      <w:r>
        <w:rPr>
          <w:rFonts w:ascii="Times New Roman" w:eastAsia="Times New Roman" w:hAnsi="Times New Roman" w:cs="Times New Roman"/>
          <w:sz w:val="24"/>
          <w:szCs w:val="24"/>
          <w:highlight w:val="white"/>
          <w:u w:val="single"/>
        </w:rPr>
        <w:t xml:space="preserve"> regional OPs</w:t>
      </w:r>
      <w:r>
        <w:rPr>
          <w:rFonts w:ascii="Times New Roman" w:eastAsia="Times New Roman" w:hAnsi="Times New Roman" w:cs="Times New Roman"/>
          <w:sz w:val="24"/>
          <w:szCs w:val="24"/>
          <w:highlight w:val="white"/>
        </w:rPr>
        <w:t xml:space="preserve"> from among the regions to ensure geographical balance and that reflects the jurisdiction of the UN Regional Commissions. The regions are (1) Africa, (2) Asia, (3) MENA, (4) Europe, (5) Central Asia, (6) Latin America, (</w:t>
      </w:r>
      <w:r>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North America, (</w:t>
      </w:r>
      <w:r>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Pacific, (</w:t>
      </w:r>
      <w:r>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C</w:t>
      </w:r>
      <w:r>
        <w:rPr>
          <w:rFonts w:ascii="Times New Roman" w:eastAsia="Times New Roman" w:hAnsi="Times New Roman" w:cs="Times New Roman"/>
          <w:sz w:val="24"/>
          <w:szCs w:val="24"/>
          <w:highlight w:val="white"/>
        </w:rPr>
        <w:t xml:space="preserve">aribbean. </w:t>
      </w:r>
    </w:p>
    <w:p w:rsidR="00D15F94" w:rsidRDefault="00D15F94">
      <w:pPr>
        <w:spacing w:after="0"/>
        <w:jc w:val="both"/>
      </w:pPr>
    </w:p>
    <w:p w:rsidR="00D15F94" w:rsidRDefault="00123C6C">
      <w:pPr>
        <w:numPr>
          <w:ilvl w:val="1"/>
          <w:numId w:val="7"/>
        </w:numPr>
        <w:spacing w:after="0"/>
        <w:ind w:left="720"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Up to</w:t>
      </w:r>
      <w:r>
        <w:rPr>
          <w:rFonts w:ascii="Times New Roman" w:eastAsia="Times New Roman" w:hAnsi="Times New Roman" w:cs="Times New Roman"/>
          <w:sz w:val="24"/>
          <w:szCs w:val="24"/>
          <w:highlight w:val="white"/>
          <w:u w:val="single"/>
        </w:rPr>
        <w:t xml:space="preserve"> 5 Thematic Cluster Coordinators</w:t>
      </w:r>
      <w:r>
        <w:rPr>
          <w:rFonts w:ascii="Times New Roman" w:eastAsia="Times New Roman" w:hAnsi="Times New Roman" w:cs="Times New Roman"/>
          <w:sz w:val="24"/>
          <w:szCs w:val="24"/>
          <w:highlight w:val="white"/>
        </w:rPr>
        <w:t xml:space="preserve"> shall represent the views of all thematic clusters recognized by the Facilitation Committee duly constituted by the NGO Major Group. </w:t>
      </w:r>
    </w:p>
    <w:p w:rsidR="00D15F94" w:rsidRDefault="00D15F94">
      <w:pPr>
        <w:spacing w:after="0"/>
        <w:jc w:val="both"/>
      </w:pPr>
    </w:p>
    <w:p w:rsidR="00D15F94" w:rsidRDefault="00123C6C">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NGO Major Group strives to have gender and regional balance, and thematic diversity on its Facilitation Committee by bringing together networks of organizations which have global policy expertise, regional expertise, relevant thematic expertise embedde</w:t>
      </w:r>
      <w:r>
        <w:rPr>
          <w:rFonts w:ascii="Times New Roman" w:eastAsia="Times New Roman" w:hAnsi="Times New Roman" w:cs="Times New Roman"/>
          <w:sz w:val="24"/>
          <w:szCs w:val="24"/>
          <w:highlight w:val="white"/>
        </w:rPr>
        <w:t>d in the SD concept, and organizational expertise (networking, advocacy, outreach, grassroots, capacity building).</w:t>
      </w:r>
    </w:p>
    <w:p w:rsidR="00D15F94" w:rsidRDefault="00123C6C">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Facilitation Committee shall establish procedures as necessary to fulfil its mandate. </w:t>
      </w:r>
    </w:p>
    <w:p w:rsidR="00D15F94" w:rsidRDefault="00123C6C">
      <w:pPr>
        <w:numPr>
          <w:ilvl w:val="0"/>
          <w:numId w:val="9"/>
        </w:numPr>
        <w:ind w:hanging="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Global OPs</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global OPs:</w:t>
      </w:r>
    </w:p>
    <w:p w:rsidR="00D15F94" w:rsidRDefault="00123C6C">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will be given a key coordinating role among the OPs;</w:t>
      </w:r>
    </w:p>
    <w:p w:rsidR="00D15F94" w:rsidRDefault="00123C6C">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agree to spend up to two to three days per week on HLPF related work depending upon demand, and have an explicit support of their organisation to do so;</w:t>
      </w:r>
    </w:p>
    <w:p w:rsidR="00D15F94" w:rsidRDefault="00123C6C">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would be responsible for liaising with the D</w:t>
      </w:r>
      <w:r>
        <w:rPr>
          <w:rFonts w:ascii="Times New Roman" w:eastAsia="Times New Roman" w:hAnsi="Times New Roman" w:cs="Times New Roman"/>
          <w:sz w:val="24"/>
          <w:szCs w:val="24"/>
        </w:rPr>
        <w:t>ESA/DSD Stakeholder Engagement Programme, relaying important information to the regional OPs from the Secretariat;</w:t>
      </w:r>
    </w:p>
    <w:p w:rsidR="00D15F94" w:rsidRDefault="00123C6C">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elaborate and nuanced knowledge of UN processes and a strong sense of historical practices to guide regional OPs and newcomers to t</w:t>
      </w:r>
      <w:r>
        <w:rPr>
          <w:rFonts w:ascii="Times New Roman" w:eastAsia="Times New Roman" w:hAnsi="Times New Roman" w:cs="Times New Roman"/>
          <w:sz w:val="24"/>
          <w:szCs w:val="24"/>
        </w:rPr>
        <w:t>he constituency;</w:t>
      </w:r>
    </w:p>
    <w:p w:rsidR="00D15F94" w:rsidRDefault="00123C6C">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ensure the equitable division of labour between all the OPs of the NGO Major Group;</w:t>
      </w:r>
    </w:p>
    <w:p w:rsidR="00D15F94" w:rsidRDefault="00123C6C">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conduct regular briefings with regional OPs and thematic cluster coordinators on the work of all the Major Groups, and make sure they are informe</w:t>
      </w:r>
      <w:r>
        <w:rPr>
          <w:rFonts w:ascii="Times New Roman" w:eastAsia="Times New Roman" w:hAnsi="Times New Roman" w:cs="Times New Roman"/>
          <w:sz w:val="24"/>
          <w:szCs w:val="24"/>
        </w:rPr>
        <w:t xml:space="preserve">d of modalities of engagement with the UN, relevant UN processes etc. </w:t>
      </w:r>
    </w:p>
    <w:p w:rsidR="00D15F94" w:rsidRDefault="00D15F94">
      <w:pPr>
        <w:spacing w:after="0"/>
        <w:ind w:left="72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Their organizations will have global or regional geographical scope and membership.</w:t>
      </w:r>
    </w:p>
    <w:p w:rsidR="00D15F94" w:rsidRDefault="00123C6C">
      <w:pPr>
        <w:numPr>
          <w:ilvl w:val="0"/>
          <w:numId w:val="9"/>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Regional OPs</w:t>
      </w:r>
    </w:p>
    <w:p w:rsidR="00D15F94" w:rsidRDefault="00D15F94">
      <w:pPr>
        <w:spacing w:after="0"/>
        <w:jc w:val="both"/>
      </w:pPr>
    </w:p>
    <w:p w:rsidR="00D15F94" w:rsidRDefault="00123C6C">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There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 xml:space="preserve">shall be up to </w:t>
      </w:r>
      <w:r>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regional OPs, one for each of the following regions: Africa, As</w:t>
      </w:r>
      <w:r>
        <w:rPr>
          <w:rFonts w:ascii="Times New Roman" w:eastAsia="Times New Roman" w:hAnsi="Times New Roman" w:cs="Times New Roman"/>
          <w:sz w:val="24"/>
          <w:szCs w:val="24"/>
          <w:highlight w:val="white"/>
        </w:rPr>
        <w:t>ia, MENA, Europe, Central Asia, Latin America, North America, Pacific, Caribbean.</w:t>
      </w:r>
    </w:p>
    <w:p w:rsidR="00D15F94" w:rsidRDefault="00123C6C">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highlight w:val="white"/>
        </w:rPr>
        <w:t xml:space="preserve"> regional OPs shall facilitate NGO participation in the Regional Commissions that include Europe and North America (UNECE), Economic Commission for Africa (UNECA), Economic Commission for Asia and the Pacific (UNESCAP), Economic Commission for Latin Americ</w:t>
      </w:r>
      <w:r>
        <w:rPr>
          <w:rFonts w:ascii="Times New Roman" w:eastAsia="Times New Roman" w:hAnsi="Times New Roman" w:cs="Times New Roman"/>
          <w:sz w:val="24"/>
          <w:szCs w:val="24"/>
          <w:highlight w:val="white"/>
        </w:rPr>
        <w:t>a and the Caribbean (UNECLAC), Economic and Social Commission for Western Asia (UNESCWA).</w:t>
      </w:r>
    </w:p>
    <w:p w:rsidR="00D15F94" w:rsidRDefault="00123C6C">
      <w:pPr>
        <w:numPr>
          <w:ilvl w:val="3"/>
          <w:numId w:val="10"/>
        </w:numPr>
        <w:spacing w:after="0"/>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w:t>
      </w:r>
      <w:r>
        <w:rPr>
          <w:rFonts w:ascii="Times New Roman" w:eastAsia="Times New Roman" w:hAnsi="Times New Roman" w:cs="Times New Roman"/>
          <w:sz w:val="24"/>
          <w:szCs w:val="24"/>
        </w:rPr>
        <w:t xml:space="preserve"> nomination of regional OPs shall take place by an election or selection process according to the electoral procedure adopted in each region.  If an election proce</w:t>
      </w:r>
      <w:r>
        <w:rPr>
          <w:rFonts w:ascii="Times New Roman" w:eastAsia="Times New Roman" w:hAnsi="Times New Roman" w:cs="Times New Roman"/>
          <w:sz w:val="24"/>
          <w:szCs w:val="24"/>
        </w:rPr>
        <w:t>dure is not in place in a region, the Facilitation Committee will assist in the development, functioning and support of such a procedure.</w:t>
      </w:r>
    </w:p>
    <w:p w:rsidR="00D15F94" w:rsidRDefault="00D15F94">
      <w:pPr>
        <w:spacing w:after="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OPs shall be facilitative, advisory, and representative.</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OPs shall be listed on the NGO MG web site</w:t>
      </w:r>
      <w:r>
        <w:rPr>
          <w:rFonts w:ascii="Times New Roman" w:eastAsia="Times New Roman" w:hAnsi="Times New Roman" w:cs="Times New Roman"/>
          <w:sz w:val="24"/>
          <w:szCs w:val="24"/>
        </w:rPr>
        <w:t xml:space="preserve"> unless requested otherwise.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selected individuals must be in close contact with the Global OPs to relay relevant inputs and concerns of the regional constituents;  manage outreach to the regional level; report upon regional activities and NGO inputs a</w:t>
      </w:r>
      <w:r>
        <w:rPr>
          <w:rFonts w:ascii="Times New Roman" w:eastAsia="Times New Roman" w:hAnsi="Times New Roman" w:cs="Times New Roman"/>
          <w:sz w:val="24"/>
          <w:szCs w:val="24"/>
        </w:rPr>
        <w:t xml:space="preserve">t Regional Commissions;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OPs are expected to collaborate with one another and be knowledgeable of practices in the neighbouring regions as well</w:t>
      </w:r>
      <w:r>
        <w:t>.</w:t>
      </w:r>
    </w:p>
    <w:p w:rsidR="00D15F94" w:rsidRDefault="00123C6C">
      <w:pPr>
        <w:numPr>
          <w:ilvl w:val="3"/>
          <w:numId w:val="10"/>
        </w:numPr>
        <w:ind w:left="0"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Terms of Reference for regional OPs should be approved after a participative process.</w:t>
      </w:r>
    </w:p>
    <w:p w:rsidR="00D15F94" w:rsidRDefault="00123C6C">
      <w:pPr>
        <w:numPr>
          <w:ilvl w:val="0"/>
          <w:numId w:val="9"/>
        </w:numPr>
        <w:spacing w:after="0"/>
        <w:ind w:hanging="36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Thematic Cluster Coordinators</w:t>
      </w:r>
    </w:p>
    <w:p w:rsidR="00D15F94" w:rsidRDefault="00D15F94">
      <w:pPr>
        <w:spacing w:after="0"/>
        <w:ind w:left="72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 to 5 Thematic Cluster Coordinators shall represent the views of all thematic clusters recognized by the Facilitation Committee duly constituted by the NGO Major Group. </w:t>
      </w:r>
    </w:p>
    <w:p w:rsidR="00D15F94" w:rsidRDefault="00123C6C">
      <w:pPr>
        <w:jc w:val="both"/>
      </w:pPr>
      <w:r>
        <w:rPr>
          <w:rFonts w:ascii="Times New Roman" w:eastAsia="Times New Roman" w:hAnsi="Times New Roman" w:cs="Times New Roman"/>
          <w:b/>
          <w:sz w:val="28"/>
          <w:szCs w:val="28"/>
        </w:rPr>
        <w:t>IV.</w:t>
      </w:r>
      <w:r>
        <w:rPr>
          <w:rFonts w:ascii="Times New Roman" w:eastAsia="Times New Roman" w:hAnsi="Times New Roman" w:cs="Times New Roman"/>
          <w:b/>
          <w:sz w:val="28"/>
          <w:szCs w:val="28"/>
        </w:rPr>
        <w:tab/>
        <w:t>Thematic Clusters</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Facilitation Committee shal</w:t>
      </w:r>
      <w:r>
        <w:rPr>
          <w:rFonts w:ascii="Times New Roman" w:eastAsia="Times New Roman" w:hAnsi="Times New Roman" w:cs="Times New Roman"/>
          <w:sz w:val="24"/>
          <w:szCs w:val="24"/>
        </w:rPr>
        <w:t>l recognize thematic clusters duly constituted by the members of the NGO Major Group.</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Thematic clusters are self-organized NGOs:</w:t>
      </w:r>
    </w:p>
    <w:p w:rsidR="00D15F94" w:rsidRDefault="00123C6C">
      <w:pPr>
        <w:numPr>
          <w:ilvl w:val="0"/>
          <w:numId w:val="13"/>
        </w:numPr>
        <w:spacing w:after="0"/>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based upon issue areas that include the SDGs as well as other cross-cutting issues.</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xml:space="preserve"> </w:t>
      </w:r>
    </w:p>
    <w:p w:rsidR="00D15F94" w:rsidRDefault="00123C6C">
      <w:pPr>
        <w:numPr>
          <w:ilvl w:val="0"/>
          <w:numId w:val="13"/>
        </w:numPr>
        <w:spacing w:after="0"/>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based upon issue areas concerning constit</w:t>
      </w:r>
      <w:r>
        <w:rPr>
          <w:rFonts w:ascii="Times New Roman" w:eastAsia="Times New Roman" w:hAnsi="Times New Roman" w:cs="Times New Roman"/>
          <w:sz w:val="24"/>
          <w:szCs w:val="24"/>
          <w:highlight w:val="white"/>
        </w:rPr>
        <w:t>uencies that may include but are not limited to the “other stakeholders” identified in the Rio+20 Outcome Document</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and A/RES/67/290.</w:t>
      </w:r>
      <w:r>
        <w:rPr>
          <w:rFonts w:ascii="Times New Roman" w:eastAsia="Times New Roman" w:hAnsi="Times New Roman" w:cs="Times New Roman"/>
          <w:sz w:val="24"/>
          <w:szCs w:val="24"/>
          <w:highlight w:val="white"/>
          <w:vertAlign w:val="superscript"/>
        </w:rPr>
        <w:footnoteReference w:id="14"/>
      </w:r>
    </w:p>
    <w:p w:rsidR="00D15F94" w:rsidRDefault="00123C6C">
      <w:pPr>
        <w:numPr>
          <w:ilvl w:val="0"/>
          <w:numId w:val="1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thematic clusters must consist of at least 10 NGOs. </w:t>
      </w:r>
    </w:p>
    <w:p w:rsidR="00D15F94" w:rsidRDefault="00123C6C">
      <w:pPr>
        <w:numPr>
          <w:ilvl w:val="0"/>
          <w:numId w:val="1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clusters will present a statement of purpose to the Facilitation Committee.</w:t>
      </w:r>
    </w:p>
    <w:p w:rsidR="00D15F94" w:rsidRDefault="00D15F94">
      <w:pPr>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clusters:</w:t>
      </w:r>
    </w:p>
    <w:p w:rsidR="00D15F94" w:rsidRDefault="00123C6C">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clusters will present annually a report to the Facilitation Committee describing the activities and issues covered by the thematic</w:t>
      </w:r>
      <w:r>
        <w:rPr>
          <w:rFonts w:ascii="Times New Roman" w:eastAsia="Times New Roman" w:hAnsi="Times New Roman" w:cs="Times New Roman"/>
          <w:sz w:val="24"/>
          <w:szCs w:val="24"/>
        </w:rPr>
        <w:t xml:space="preserve"> cluster.</w:t>
      </w:r>
    </w:p>
    <w:p w:rsidR="00D15F94" w:rsidRDefault="00123C6C">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thematic clusters shall be encouraged to participate in the annual HLPF thematic review process.</w:t>
      </w:r>
    </w:p>
    <w:p w:rsidR="00D15F94" w:rsidRDefault="00D15F94">
      <w:pPr>
        <w:spacing w:after="0"/>
        <w:jc w:val="both"/>
      </w:pPr>
    </w:p>
    <w:p w:rsidR="00D15F94" w:rsidRDefault="00123C6C">
      <w:pPr>
        <w:spacing w:after="0"/>
        <w:jc w:val="both"/>
      </w:pPr>
      <w:r>
        <w:rPr>
          <w:rFonts w:ascii="Times New Roman" w:eastAsia="Times New Roman" w:hAnsi="Times New Roman" w:cs="Times New Roman"/>
          <w:sz w:val="28"/>
          <w:szCs w:val="28"/>
        </w:rPr>
        <w:t>V.</w:t>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Nominations and Elections of Global/Regional Organizing Partners and Thematic Cluster Coordinators</w:t>
      </w:r>
    </w:p>
    <w:p w:rsidR="00D15F94" w:rsidRDefault="00D15F94">
      <w:pPr>
        <w:spacing w:after="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members of the NGO Major Group </w:t>
      </w:r>
      <w:r>
        <w:rPr>
          <w:rFonts w:ascii="Times New Roman" w:eastAsia="Times New Roman" w:hAnsi="Times New Roman" w:cs="Times New Roman"/>
          <w:sz w:val="24"/>
          <w:szCs w:val="24"/>
        </w:rPr>
        <w:t>are eligible to be nominated by their organizations for the positions of global and regional O</w:t>
      </w:r>
      <w:r>
        <w:rPr>
          <w:rFonts w:ascii="Times New Roman" w:eastAsia="Times New Roman" w:hAnsi="Times New Roman" w:cs="Times New Roman"/>
          <w:sz w:val="24"/>
          <w:szCs w:val="24"/>
        </w:rPr>
        <w:t xml:space="preserve">rganizing </w:t>
      </w:r>
      <w:r>
        <w:rPr>
          <w:rFonts w:ascii="Times New Roman" w:eastAsia="Times New Roman" w:hAnsi="Times New Roman" w:cs="Times New Roman"/>
          <w:sz w:val="24"/>
          <w:szCs w:val="24"/>
        </w:rPr>
        <w:t>Partners and Thematic Cluster Coordinators, subject to the criteria spelled out below.</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embers of the NGO Major Group are also eligible to be nominated </w:t>
      </w:r>
      <w:r>
        <w:rPr>
          <w:rFonts w:ascii="Times New Roman" w:eastAsia="Times New Roman" w:hAnsi="Times New Roman" w:cs="Times New Roman"/>
          <w:sz w:val="24"/>
          <w:szCs w:val="24"/>
        </w:rPr>
        <w:t xml:space="preserve">by their organizations for membership on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w:t>
      </w:r>
    </w:p>
    <w:p w:rsidR="00D15F94" w:rsidRDefault="00123C6C">
      <w:pPr>
        <w:numPr>
          <w:ilvl w:val="0"/>
          <w:numId w:val="15"/>
        </w:numPr>
        <w:spacing w:after="0" w:line="240" w:lineRule="auto"/>
        <w:ind w:hanging="360"/>
        <w:jc w:val="both"/>
        <w:rPr>
          <w:u w:val="single"/>
        </w:rPr>
      </w:pPr>
      <w:r>
        <w:rPr>
          <w:rFonts w:ascii="Times New Roman" w:eastAsia="Times New Roman" w:hAnsi="Times New Roman" w:cs="Times New Roman"/>
          <w:b/>
          <w:sz w:val="24"/>
          <w:szCs w:val="24"/>
          <w:u w:val="single"/>
        </w:rPr>
        <w:lastRenderedPageBreak/>
        <w:t xml:space="preserve">Nomination </w:t>
      </w:r>
      <w:r>
        <w:rPr>
          <w:rFonts w:ascii="Times New Roman" w:eastAsia="Times New Roman" w:hAnsi="Times New Roman" w:cs="Times New Roman"/>
          <w:b/>
          <w:sz w:val="24"/>
          <w:szCs w:val="24"/>
          <w:u w:val="single"/>
        </w:rPr>
        <w:t>Committee</w:t>
      </w:r>
      <w:r>
        <w:rPr>
          <w:rFonts w:ascii="Times New Roman" w:eastAsia="Times New Roman" w:hAnsi="Times New Roman" w:cs="Times New Roman"/>
          <w:sz w:val="24"/>
          <w:szCs w:val="24"/>
          <w:u w:val="single"/>
        </w:rPr>
        <w:t xml:space="preserve"> </w:t>
      </w:r>
    </w:p>
    <w:p w:rsidR="00D15F94" w:rsidRDefault="00D15F94">
      <w:pPr>
        <w:spacing w:after="0" w:line="240" w:lineRule="auto"/>
        <w:ind w:left="720"/>
        <w:jc w:val="both"/>
      </w:pPr>
    </w:p>
    <w:p w:rsidR="00D15F94" w:rsidRDefault="00D15F94">
      <w:pPr>
        <w:spacing w:after="0" w:line="240" w:lineRule="auto"/>
        <w:jc w:val="both"/>
      </w:pPr>
    </w:p>
    <w:p w:rsidR="00D15F94" w:rsidRDefault="00123C6C">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Facilitation Committee shall:</w:t>
      </w:r>
    </w:p>
    <w:p w:rsidR="00D15F94" w:rsidRDefault="00123C6C">
      <w:pPr>
        <w:numPr>
          <w:ilvl w:val="1"/>
          <w:numId w:val="12"/>
        </w:numPr>
        <w:spacing w:after="0"/>
        <w:ind w:hanging="720"/>
        <w:contextualSpacing/>
        <w:jc w:val="both"/>
        <w:rPr>
          <w:sz w:val="24"/>
          <w:szCs w:val="24"/>
          <w:highlight w:val="white"/>
        </w:rPr>
      </w:pPr>
      <w:r>
        <w:rPr>
          <w:rFonts w:ascii="Times New Roman" w:eastAsia="Times New Roman" w:hAnsi="Times New Roman" w:cs="Times New Roman"/>
          <w:sz w:val="24"/>
          <w:szCs w:val="24"/>
          <w:highlight w:val="white"/>
        </w:rPr>
        <w:t>Approv</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global OP, </w:t>
      </w: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regional OPs and up to </w:t>
      </w:r>
      <w:r>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other members of the NGO Major Group to be on the </w:t>
      </w:r>
      <w:r>
        <w:rPr>
          <w:rFonts w:ascii="Times New Roman" w:eastAsia="Times New Roman" w:hAnsi="Times New Roman" w:cs="Times New Roman"/>
          <w:sz w:val="24"/>
          <w:szCs w:val="24"/>
          <w:highlight w:val="white"/>
        </w:rPr>
        <w:t xml:space="preserve">Nomination </w:t>
      </w:r>
      <w:r>
        <w:rPr>
          <w:rFonts w:ascii="Times New Roman" w:eastAsia="Times New Roman" w:hAnsi="Times New Roman" w:cs="Times New Roman"/>
          <w:sz w:val="24"/>
          <w:szCs w:val="24"/>
          <w:highlight w:val="white"/>
        </w:rPr>
        <w:t xml:space="preserve">Committee, including its chair.  </w:t>
      </w:r>
    </w:p>
    <w:p w:rsidR="00D15F94" w:rsidRDefault="00123C6C">
      <w:pPr>
        <w:numPr>
          <w:ilvl w:val="1"/>
          <w:numId w:val="12"/>
        </w:numPr>
        <w:spacing w:after="0"/>
        <w:ind w:hanging="720"/>
        <w:contextualSpacing/>
        <w:jc w:val="both"/>
        <w:rPr>
          <w:sz w:val="24"/>
          <w:szCs w:val="24"/>
          <w:highlight w:val="white"/>
        </w:rPr>
      </w:pPr>
      <w:r>
        <w:rPr>
          <w:rFonts w:ascii="Times New Roman" w:eastAsia="Times New Roman" w:hAnsi="Times New Roman" w:cs="Times New Roman"/>
          <w:sz w:val="24"/>
          <w:szCs w:val="24"/>
          <w:highlight w:val="white"/>
        </w:rPr>
        <w:t>Review and approv</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nominations for the positions of OPs and Thematic Cluster Coordinators, as submitted by the </w:t>
      </w:r>
      <w:r>
        <w:rPr>
          <w:rFonts w:ascii="Times New Roman" w:eastAsia="Times New Roman" w:hAnsi="Times New Roman" w:cs="Times New Roman"/>
          <w:sz w:val="24"/>
          <w:szCs w:val="24"/>
          <w:highlight w:val="white"/>
        </w:rPr>
        <w:t xml:space="preserve">Nomination </w:t>
      </w:r>
      <w:r>
        <w:rPr>
          <w:rFonts w:ascii="Times New Roman" w:eastAsia="Times New Roman" w:hAnsi="Times New Roman" w:cs="Times New Roman"/>
          <w:sz w:val="24"/>
          <w:szCs w:val="24"/>
          <w:highlight w:val="white"/>
        </w:rPr>
        <w:t>Committee.</w:t>
      </w:r>
    </w:p>
    <w:p w:rsidR="00D15F94" w:rsidRDefault="00D15F94">
      <w:pPr>
        <w:spacing w:after="0"/>
        <w:ind w:left="144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 process will be transparent and organized by an independent Nomination Committee comprised of 1 global OP and 2 regional OPs who shall select up to 4 other members of the NGO Major Group based upon a nomination process, all of whom should re</w:t>
      </w:r>
      <w:r>
        <w:rPr>
          <w:rFonts w:ascii="Times New Roman" w:eastAsia="Times New Roman" w:hAnsi="Times New Roman" w:cs="Times New Roman"/>
          <w:sz w:val="24"/>
          <w:szCs w:val="24"/>
        </w:rPr>
        <w:t>flect the diversity of the worldwide NGO community, for approval by the Facilitation Committee.</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member of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may seek a place on the ballot.</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shall be responsible for producing a slate of candidates for stag</w:t>
      </w:r>
      <w:r>
        <w:rPr>
          <w:rFonts w:ascii="Times New Roman" w:eastAsia="Times New Roman" w:hAnsi="Times New Roman" w:cs="Times New Roman"/>
          <w:sz w:val="24"/>
          <w:szCs w:val="24"/>
        </w:rPr>
        <w:t>gered elections of global and regional OPs on an annual basis.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composing the slate, adequate attention should be paid to geographic balance, gender balance and thematic balance: social, environmental and economic dimensions.</w:t>
      </w:r>
    </w:p>
    <w:p w:rsidR="00D15F94" w:rsidRDefault="00123C6C">
      <w:pPr>
        <w:numPr>
          <w:ilvl w:val="0"/>
          <w:numId w:val="15"/>
        </w:numPr>
        <w:spacing w:after="0" w:line="240" w:lineRule="auto"/>
        <w:ind w:hanging="360"/>
        <w:jc w:val="both"/>
      </w:pPr>
      <w:r>
        <w:rPr>
          <w:rFonts w:ascii="Times New Roman" w:eastAsia="Times New Roman" w:hAnsi="Times New Roman" w:cs="Times New Roman"/>
          <w:b/>
          <w:sz w:val="24"/>
          <w:szCs w:val="24"/>
          <w:u w:val="single"/>
        </w:rPr>
        <w:t xml:space="preserve">Nomination </w:t>
      </w:r>
      <w:r>
        <w:rPr>
          <w:rFonts w:ascii="Times New Roman" w:eastAsia="Times New Roman" w:hAnsi="Times New Roman" w:cs="Times New Roman"/>
          <w:b/>
          <w:sz w:val="24"/>
          <w:szCs w:val="24"/>
          <w:u w:val="single"/>
        </w:rPr>
        <w:t>Committee Proce</w:t>
      </w:r>
      <w:r>
        <w:rPr>
          <w:rFonts w:ascii="Times New Roman" w:eastAsia="Times New Roman" w:hAnsi="Times New Roman" w:cs="Times New Roman"/>
          <w:b/>
          <w:sz w:val="24"/>
          <w:szCs w:val="24"/>
          <w:u w:val="single"/>
        </w:rPr>
        <w:t>dures</w:t>
      </w:r>
      <w:r>
        <w:rPr>
          <w:rFonts w:ascii="Times New Roman" w:eastAsia="Times New Roman" w:hAnsi="Times New Roman" w:cs="Times New Roman"/>
          <w:b/>
          <w:sz w:val="24"/>
          <w:szCs w:val="24"/>
        </w:rPr>
        <w:tab/>
      </w:r>
    </w:p>
    <w:p w:rsidR="00D15F94" w:rsidRDefault="00D15F94">
      <w:pPr>
        <w:spacing w:after="0" w:line="240" w:lineRule="auto"/>
        <w:ind w:firstLine="720"/>
        <w:jc w:val="both"/>
      </w:pPr>
    </w:p>
    <w:p w:rsidR="00D15F94" w:rsidRDefault="00123C6C">
      <w:pPr>
        <w:numPr>
          <w:ilvl w:val="3"/>
          <w:numId w:val="10"/>
        </w:numPr>
        <w:ind w:left="0" w:firstLine="0"/>
      </w:pPr>
      <w:r>
        <w:rPr>
          <w:rFonts w:ascii="Times New Roman" w:eastAsia="Times New Roman" w:hAnsi="Times New Roman" w:cs="Times New Roman"/>
          <w:sz w:val="24"/>
          <w:szCs w:val="24"/>
        </w:rPr>
        <w:t>The procedures are as follows:</w:t>
      </w:r>
    </w:p>
    <w:p w:rsidR="00D15F94" w:rsidRDefault="00123C6C">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the first week of January, members of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 xml:space="preserve">Committee shall have been confirmed by the NGO Major Group Facilitation Committee. </w:t>
      </w:r>
    </w:p>
    <w:p w:rsidR="00D15F94" w:rsidRDefault="00D15F94">
      <w:pPr>
        <w:spacing w:after="0" w:line="240" w:lineRule="auto"/>
        <w:ind w:left="720"/>
        <w:jc w:val="both"/>
      </w:pPr>
    </w:p>
    <w:p w:rsidR="00D15F94" w:rsidRDefault="00123C6C">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the first week of February,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 xml:space="preserve">Committee shall </w:t>
      </w:r>
      <w:r>
        <w:rPr>
          <w:rFonts w:ascii="Times New Roman" w:eastAsia="Times New Roman" w:hAnsi="Times New Roman" w:cs="Times New Roman"/>
          <w:sz w:val="24"/>
          <w:szCs w:val="24"/>
        </w:rPr>
        <w:t>circulate a nomination form to solicit from all NGOs associated with the NGO Major Group nominations for global and regional OP positions to be filled in the forthcoming elections.</w:t>
      </w:r>
    </w:p>
    <w:p w:rsidR="00D15F94" w:rsidRDefault="00D15F94">
      <w:pPr>
        <w:spacing w:after="0" w:line="240" w:lineRule="auto"/>
        <w:jc w:val="both"/>
      </w:pPr>
    </w:p>
    <w:p w:rsidR="00D15F94" w:rsidRDefault="00123C6C">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mid March, to the extent possible and as appropriate,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w:t>
      </w:r>
      <w:r>
        <w:rPr>
          <w:rFonts w:ascii="Times New Roman" w:eastAsia="Times New Roman" w:hAnsi="Times New Roman" w:cs="Times New Roman"/>
          <w:sz w:val="24"/>
          <w:szCs w:val="24"/>
        </w:rPr>
        <w:t>mmittee shall conduct</w:t>
      </w:r>
      <w:r>
        <w:rPr>
          <w:rFonts w:ascii="Times New Roman" w:eastAsia="Times New Roman" w:hAnsi="Times New Roman" w:cs="Times New Roman"/>
          <w:sz w:val="24"/>
          <w:szCs w:val="24"/>
        </w:rPr>
        <w:t xml:space="preserve"> interviews with the nominees to determine their eligibility and relevant qualifications.</w:t>
      </w:r>
    </w:p>
    <w:p w:rsidR="00D15F94" w:rsidRDefault="00D15F94">
      <w:pPr>
        <w:spacing w:after="0" w:line="240" w:lineRule="auto"/>
        <w:jc w:val="both"/>
      </w:pPr>
    </w:p>
    <w:p w:rsidR="00D15F94" w:rsidRDefault="00123C6C">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April,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shall</w:t>
      </w:r>
      <w:r>
        <w:rPr>
          <w:rFonts w:ascii="Times New Roman" w:eastAsia="Times New Roman" w:hAnsi="Times New Roman" w:cs="Times New Roman"/>
          <w:sz w:val="24"/>
          <w:szCs w:val="24"/>
        </w:rPr>
        <w:t xml:space="preserve"> submit to the NGO Major Group Facilitation Committee the list of candidates, their affiliated organizat</w:t>
      </w:r>
      <w:r>
        <w:rPr>
          <w:rFonts w:ascii="Times New Roman" w:eastAsia="Times New Roman" w:hAnsi="Times New Roman" w:cs="Times New Roman"/>
          <w:sz w:val="24"/>
          <w:szCs w:val="24"/>
        </w:rPr>
        <w:t>ions, and the positions sought, to be included on the ballot for voting by the membership at the NGO Major Group Annual Meeting.</w:t>
      </w:r>
    </w:p>
    <w:p w:rsidR="00D15F94" w:rsidRDefault="00D15F94">
      <w:pPr>
        <w:spacing w:after="0" w:line="240" w:lineRule="auto"/>
        <w:jc w:val="both"/>
      </w:pPr>
    </w:p>
    <w:p w:rsidR="00D15F94" w:rsidRDefault="00123C6C">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In total,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shall strive to have up to 1</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OPs: three global OPs (north/south balance) and one OP per re</w:t>
      </w:r>
      <w:r>
        <w:rPr>
          <w:rFonts w:ascii="Times New Roman" w:eastAsia="Times New Roman" w:hAnsi="Times New Roman" w:cs="Times New Roman"/>
          <w:sz w:val="24"/>
          <w:szCs w:val="24"/>
        </w:rPr>
        <w:t xml:space="preserve">gion selected from among the following regions in </w:t>
      </w:r>
      <w:r>
        <w:rPr>
          <w:rFonts w:ascii="Times New Roman" w:eastAsia="Times New Roman" w:hAnsi="Times New Roman" w:cs="Times New Roman"/>
          <w:sz w:val="24"/>
          <w:szCs w:val="24"/>
        </w:rPr>
        <w:lastRenderedPageBreak/>
        <w:t>order to ensure geographical representation: (1) Africa, (2) Asia, (3) MENA, (4) Europe, (5) Central Asia,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Latin America, (</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North America (preferably NY based), (</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Pacific, (</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Caribbean.</w:t>
      </w:r>
    </w:p>
    <w:p w:rsidR="00D15F94" w:rsidRDefault="00D15F94">
      <w:pPr>
        <w:spacing w:after="0" w:line="240" w:lineRule="auto"/>
        <w:ind w:left="720"/>
        <w:jc w:val="both"/>
      </w:pPr>
    </w:p>
    <w:p w:rsidR="00D15F94" w:rsidRDefault="00123C6C">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There are </w:t>
      </w:r>
      <w:r>
        <w:rPr>
          <w:rFonts w:ascii="Times New Roman" w:eastAsia="Times New Roman" w:hAnsi="Times New Roman" w:cs="Times New Roman"/>
          <w:sz w:val="24"/>
          <w:szCs w:val="24"/>
        </w:rPr>
        <w:t xml:space="preserve">2 options for the slate of candidates to be offered for vote depending upon nominations received: (1) if the number of nominees is below the maximum, and the quality and diversity of applications meets the criteria set out in these Terms of Reference, all </w:t>
      </w:r>
      <w:r>
        <w:rPr>
          <w:rFonts w:ascii="Times New Roman" w:eastAsia="Times New Roman" w:hAnsi="Times New Roman" w:cs="Times New Roman"/>
          <w:sz w:val="24"/>
          <w:szCs w:val="24"/>
        </w:rPr>
        <w:t xml:space="preserve">nominations will be proposed as OPs for a slate vote; or (2) If there are many more nominations than the maximum 11 slots, then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will propose a list of candidates for a vote.</w:t>
      </w:r>
    </w:p>
    <w:p w:rsidR="00D15F94" w:rsidRDefault="00D15F94">
      <w:pPr>
        <w:spacing w:after="0" w:line="240" w:lineRule="auto"/>
        <w:jc w:val="both"/>
      </w:pPr>
    </w:p>
    <w:p w:rsidR="00D15F94" w:rsidRDefault="00123C6C">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 xml:space="preserve">Committee shall send by email, at least 30 days before the Annual Meeting, the ballot with information on election procedures including names of candidates and their resumes and deadline date of the Annual Meeting to all members of the NGO Major Group. </w:t>
      </w:r>
    </w:p>
    <w:p w:rsidR="00D15F94" w:rsidRDefault="00D15F94">
      <w:pPr>
        <w:spacing w:after="0" w:line="240" w:lineRule="auto"/>
        <w:jc w:val="both"/>
      </w:pPr>
    </w:p>
    <w:p w:rsidR="00D15F94" w:rsidRDefault="00123C6C">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results of the election of Organizing Partners and </w:t>
      </w:r>
      <w:r>
        <w:rPr>
          <w:rFonts w:ascii="Times New Roman" w:eastAsia="Times New Roman" w:hAnsi="Times New Roman" w:cs="Times New Roman"/>
          <w:sz w:val="24"/>
          <w:szCs w:val="24"/>
        </w:rPr>
        <w:t>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Cluster Coordinators shall be announced at the Annual Meeting of the NGO Major Group in June or July</w:t>
      </w:r>
      <w:r>
        <w:rPr>
          <w:rFonts w:ascii="Times New Roman" w:eastAsia="Times New Roman" w:hAnsi="Times New Roman" w:cs="Times New Roman"/>
          <w:sz w:val="24"/>
          <w:szCs w:val="24"/>
        </w:rPr>
        <w:t xml:space="preserve">, back to back with the HLPF. </w:t>
      </w:r>
    </w:p>
    <w:p w:rsidR="00D15F94" w:rsidRDefault="00D15F94">
      <w:pPr>
        <w:spacing w:after="0"/>
        <w:jc w:val="both"/>
      </w:pPr>
    </w:p>
    <w:p w:rsidR="00D15F94" w:rsidRDefault="00123C6C">
      <w:pPr>
        <w:numPr>
          <w:ilvl w:val="0"/>
          <w:numId w:val="15"/>
        </w:numPr>
        <w:spacing w:after="0" w:line="240" w:lineRule="auto"/>
        <w:ind w:hanging="360"/>
        <w:jc w:val="both"/>
        <w:rPr>
          <w:u w:val="single"/>
        </w:rPr>
      </w:pPr>
      <w:r>
        <w:rPr>
          <w:rFonts w:ascii="Times New Roman" w:eastAsia="Times New Roman" w:hAnsi="Times New Roman" w:cs="Times New Roman"/>
          <w:b/>
          <w:sz w:val="24"/>
          <w:szCs w:val="24"/>
          <w:u w:val="single"/>
        </w:rPr>
        <w:t>Nomination</w:t>
      </w:r>
      <w:r>
        <w:rPr>
          <w:rFonts w:ascii="Times New Roman" w:eastAsia="Times New Roman" w:hAnsi="Times New Roman" w:cs="Times New Roman"/>
          <w:b/>
          <w:sz w:val="24"/>
          <w:szCs w:val="24"/>
          <w:u w:val="single"/>
        </w:rPr>
        <w:t xml:space="preserve"> Criteria </w:t>
      </w:r>
    </w:p>
    <w:p w:rsidR="00D15F94" w:rsidRDefault="00D15F94">
      <w:pPr>
        <w:spacing w:after="0"/>
        <w:ind w:left="144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In addition to the specificities mentioned in paragraph 12 above, all OPs and Thematic Cluster Coordinators:</w:t>
      </w:r>
    </w:p>
    <w:p w:rsidR="00D15F94" w:rsidRDefault="00123C6C">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must possess expert knowledge, concrete experience and understanding of sustainable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intergovernmental decision-making processes and pr</w:t>
      </w:r>
      <w:r>
        <w:rPr>
          <w:rFonts w:ascii="Times New Roman" w:eastAsia="Times New Roman" w:hAnsi="Times New Roman" w:cs="Times New Roman"/>
          <w:sz w:val="24"/>
          <w:szCs w:val="24"/>
        </w:rPr>
        <w:t>ocedures of the work of the UN in general, and of the HLPF, and the several outcomes of the Rio+20 process, in particular “the 2030 Agenda for Sustainable Development”.</w:t>
      </w:r>
    </w:p>
    <w:p w:rsidR="00D15F94" w:rsidRDefault="00D15F94">
      <w:pPr>
        <w:spacing w:after="0"/>
        <w:ind w:left="720"/>
        <w:jc w:val="both"/>
      </w:pPr>
    </w:p>
    <w:p w:rsidR="00D15F94" w:rsidRDefault="00123C6C">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must possess the organizational capacities (i.e. time and resources) to perform the re</w:t>
      </w:r>
      <w:r>
        <w:rPr>
          <w:rFonts w:ascii="Times New Roman" w:eastAsia="Times New Roman" w:hAnsi="Times New Roman" w:cs="Times New Roman"/>
          <w:sz w:val="24"/>
          <w:szCs w:val="24"/>
        </w:rPr>
        <w:t>quired tasks and responsibilities associated with the position without monetary compensation from the UN</w:t>
      </w:r>
      <w:r>
        <w:rPr>
          <w:rFonts w:ascii="Times New Roman" w:eastAsia="Times New Roman" w:hAnsi="Times New Roman" w:cs="Times New Roman"/>
          <w:sz w:val="24"/>
          <w:szCs w:val="24"/>
        </w:rPr>
        <w:t xml:space="preserve"> or the NGO Major Group.</w:t>
      </w:r>
    </w:p>
    <w:p w:rsidR="00D15F94" w:rsidRDefault="00D15F94">
      <w:pPr>
        <w:spacing w:after="0"/>
        <w:jc w:val="both"/>
      </w:pPr>
    </w:p>
    <w:p w:rsidR="00D15F94" w:rsidRDefault="00123C6C">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must have the backing and support of their own organizations and an explicit written guarantee from their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organizations that h</w:t>
      </w:r>
      <w:r>
        <w:rPr>
          <w:rFonts w:ascii="Times New Roman" w:eastAsia="Times New Roman" w:hAnsi="Times New Roman" w:cs="Times New Roman"/>
          <w:sz w:val="24"/>
          <w:szCs w:val="24"/>
        </w:rPr>
        <w:t xml:space="preserve">e/she will be allowed to prioritise work as OP or </w:t>
      </w:r>
      <w:r>
        <w:rPr>
          <w:rFonts w:ascii="Times New Roman" w:eastAsia="Times New Roman" w:hAnsi="Times New Roman" w:cs="Times New Roman"/>
          <w:sz w:val="24"/>
          <w:szCs w:val="24"/>
        </w:rPr>
        <w:t>Thematic Cluster Coordinator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his/her </w:t>
      </w:r>
      <w:r>
        <w:rPr>
          <w:rFonts w:ascii="Times New Roman" w:eastAsia="Times New Roman" w:hAnsi="Times New Roman" w:cs="Times New Roman"/>
          <w:sz w:val="24"/>
          <w:szCs w:val="24"/>
        </w:rPr>
        <w:t>term of office</w:t>
      </w:r>
      <w:r>
        <w:rPr>
          <w:rFonts w:ascii="Times New Roman" w:eastAsia="Times New Roman" w:hAnsi="Times New Roman" w:cs="Times New Roman"/>
          <w:sz w:val="24"/>
          <w:szCs w:val="24"/>
        </w:rPr>
        <w:t>.</w:t>
      </w:r>
    </w:p>
    <w:p w:rsidR="00D15F94" w:rsidRDefault="00D15F94">
      <w:pPr>
        <w:spacing w:after="0"/>
        <w:jc w:val="both"/>
      </w:pPr>
    </w:p>
    <w:p w:rsidR="00D15F94" w:rsidRDefault="00123C6C">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Represent an organization with proof of its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independent juridical personality and non-profit and/or tax-exempt status in a Member State of the Un</w:t>
      </w:r>
      <w:r>
        <w:rPr>
          <w:rFonts w:ascii="Times New Roman" w:eastAsia="Times New Roman" w:hAnsi="Times New Roman" w:cs="Times New Roman"/>
          <w:sz w:val="24"/>
          <w:szCs w:val="24"/>
        </w:rPr>
        <w:t>ited Nations, preferably in consultative status with ECOSOC or has been specially accredited to a major UN conference or summit on sustainable development. Preference will be given to international or regi</w:t>
      </w:r>
      <w:r>
        <w:rPr>
          <w:rFonts w:ascii="Times New Roman" w:eastAsia="Times New Roman" w:hAnsi="Times New Roman" w:cs="Times New Roman"/>
          <w:sz w:val="24"/>
          <w:szCs w:val="24"/>
        </w:rPr>
        <w:t xml:space="preserve">onal networks of organizations. </w:t>
      </w:r>
    </w:p>
    <w:p w:rsidR="00D15F94" w:rsidRDefault="00D15F94">
      <w:pPr>
        <w:spacing w:after="0"/>
        <w:ind w:left="72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w:t>
      </w:r>
      <w:r>
        <w:rPr>
          <w:rFonts w:ascii="Times New Roman" w:eastAsia="Times New Roman" w:hAnsi="Times New Roman" w:cs="Times New Roman"/>
          <w:sz w:val="24"/>
          <w:szCs w:val="24"/>
        </w:rPr>
        <w:t>Organization with which the OPs or Thematic Cluster Coordinators are affiliated:</w:t>
      </w:r>
    </w:p>
    <w:p w:rsidR="00D15F94" w:rsidRDefault="00123C6C">
      <w:pPr>
        <w:numPr>
          <w:ilvl w:val="6"/>
          <w:numId w:val="10"/>
        </w:numPr>
        <w:ind w:left="1080" w:hanging="360"/>
        <w:rPr>
          <w:sz w:val="24"/>
          <w:szCs w:val="24"/>
        </w:rPr>
      </w:pPr>
      <w:r>
        <w:rPr>
          <w:rFonts w:ascii="Times New Roman" w:eastAsia="Times New Roman" w:hAnsi="Times New Roman" w:cs="Times New Roman"/>
          <w:sz w:val="24"/>
          <w:szCs w:val="24"/>
        </w:rPr>
        <w:t>should have an established office or address (headquarters) with an executive officer. It should have statutes which are transparent and accessible and if a network preferably a democratically adopted constitution.</w:t>
      </w:r>
    </w:p>
    <w:p w:rsidR="00D15F94" w:rsidRDefault="00123C6C">
      <w:pPr>
        <w:numPr>
          <w:ilvl w:val="6"/>
          <w:numId w:val="10"/>
        </w:numPr>
        <w:ind w:left="1080" w:hanging="360"/>
        <w:rPr>
          <w:sz w:val="24"/>
          <w:szCs w:val="24"/>
        </w:rPr>
      </w:pPr>
      <w:r>
        <w:rPr>
          <w:rFonts w:ascii="Times New Roman" w:eastAsia="Times New Roman" w:hAnsi="Times New Roman" w:cs="Times New Roman"/>
          <w:sz w:val="24"/>
          <w:szCs w:val="24"/>
        </w:rPr>
        <w:t>should have a representative structure an</w:t>
      </w:r>
      <w:r>
        <w:rPr>
          <w:rFonts w:ascii="Times New Roman" w:eastAsia="Times New Roman" w:hAnsi="Times New Roman" w:cs="Times New Roman"/>
          <w:sz w:val="24"/>
          <w:szCs w:val="24"/>
        </w:rPr>
        <w:t>d possess appropriate mechanisms of accountability to its board or members.</w:t>
      </w:r>
    </w:p>
    <w:p w:rsidR="00D15F94" w:rsidRDefault="00123C6C">
      <w:pPr>
        <w:numPr>
          <w:ilvl w:val="6"/>
          <w:numId w:val="10"/>
        </w:numPr>
        <w:ind w:left="1080" w:hanging="360"/>
        <w:rPr>
          <w:sz w:val="24"/>
          <w:szCs w:val="24"/>
        </w:rPr>
      </w:pPr>
      <w:r>
        <w:rPr>
          <w:rFonts w:ascii="Times New Roman" w:eastAsia="Times New Roman" w:hAnsi="Times New Roman" w:cs="Times New Roman"/>
          <w:sz w:val="24"/>
          <w:szCs w:val="24"/>
        </w:rPr>
        <w:t>should have experience in proposal writing and fund raising.</w:t>
      </w:r>
    </w:p>
    <w:p w:rsidR="00D15F94" w:rsidRDefault="00123C6C">
      <w:pPr>
        <w:numPr>
          <w:ilvl w:val="6"/>
          <w:numId w:val="10"/>
        </w:numPr>
        <w:ind w:left="1080" w:hanging="360"/>
        <w:rPr>
          <w:sz w:val="24"/>
          <w:szCs w:val="24"/>
        </w:rPr>
      </w:pPr>
      <w:r>
        <w:rPr>
          <w:rFonts w:ascii="Times New Roman" w:eastAsia="Times New Roman" w:hAnsi="Times New Roman" w:cs="Times New Roman"/>
          <w:sz w:val="24"/>
          <w:szCs w:val="24"/>
        </w:rPr>
        <w:t>should have sufficient financial and human resources to be able to engage in the policy process for at least 3 years.</w:t>
      </w:r>
    </w:p>
    <w:p w:rsidR="00D15F94" w:rsidRDefault="00D15F94">
      <w:pPr>
        <w:spacing w:after="0" w:line="240" w:lineRule="auto"/>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nomination must include the following components: </w:t>
      </w:r>
    </w:p>
    <w:p w:rsidR="00D15F94" w:rsidRDefault="00123C6C">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Biographical information, proven experience in the domains of UN processes and Sustainable Development</w:t>
      </w:r>
    </w:p>
    <w:p w:rsidR="00D15F94" w:rsidRDefault="00123C6C">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regarding motivation, experience, and vision of a successful NGO Major Group </w:t>
      </w:r>
    </w:p>
    <w:p w:rsidR="00D15F94" w:rsidRDefault="00123C6C">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that the position of OP </w:t>
      </w:r>
      <w:r>
        <w:rPr>
          <w:rFonts w:ascii="Times New Roman" w:eastAsia="Times New Roman" w:hAnsi="Times New Roman" w:cs="Times New Roman"/>
          <w:sz w:val="24"/>
          <w:szCs w:val="24"/>
        </w:rPr>
        <w:t>and Thematic Cluster Coordinator</w:t>
      </w:r>
      <w:r>
        <w:rPr>
          <w:rFonts w:ascii="Times New Roman" w:eastAsia="Times New Roman" w:hAnsi="Times New Roman" w:cs="Times New Roman"/>
          <w:sz w:val="24"/>
          <w:szCs w:val="24"/>
        </w:rPr>
        <w:t xml:space="preserve"> is not funded, an endorsement letter from the CEO of the organization of the candidate must explicitly show that the organization commits the candidate to work 3-4 days a week on OP MGs issues </w:t>
      </w:r>
      <w:r>
        <w:rPr>
          <w:rFonts w:ascii="Times New Roman" w:eastAsia="Times New Roman" w:hAnsi="Times New Roman" w:cs="Times New Roman"/>
          <w:sz w:val="24"/>
          <w:szCs w:val="24"/>
        </w:rPr>
        <w:t xml:space="preserve">as well as allowing her/him to fundraise to support that position for three or two years. </w:t>
      </w:r>
    </w:p>
    <w:p w:rsidR="00D15F94" w:rsidRDefault="00123C6C">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professional reference letters (not from a family member or friends),</w:t>
      </w:r>
    </w:p>
    <w:p w:rsidR="00D15F94" w:rsidRDefault="00123C6C">
      <w:pPr>
        <w:spacing w:after="0" w:line="240" w:lineRule="auto"/>
        <w:ind w:left="1440"/>
        <w:jc w:val="both"/>
      </w:pPr>
      <w:r>
        <w:rPr>
          <w:rFonts w:ascii="Times New Roman" w:eastAsia="Times New Roman" w:hAnsi="Times New Roman" w:cs="Times New Roman"/>
          <w:sz w:val="24"/>
          <w:szCs w:val="24"/>
        </w:rPr>
        <w:t xml:space="preserve"> </w:t>
      </w:r>
    </w:p>
    <w:p w:rsidR="00D15F94" w:rsidRDefault="00123C6C">
      <w:pPr>
        <w:numPr>
          <w:ilvl w:val="0"/>
          <w:numId w:val="15"/>
        </w:numPr>
        <w:spacing w:after="0" w:line="240" w:lineRule="auto"/>
        <w:ind w:hanging="360"/>
        <w:jc w:val="both"/>
      </w:pPr>
      <w:r>
        <w:rPr>
          <w:rFonts w:ascii="Times New Roman" w:eastAsia="Times New Roman" w:hAnsi="Times New Roman" w:cs="Times New Roman"/>
          <w:b/>
          <w:sz w:val="24"/>
          <w:szCs w:val="24"/>
          <w:u w:val="single"/>
        </w:rPr>
        <w:t>Term of office</w:t>
      </w:r>
    </w:p>
    <w:p w:rsidR="00D15F94" w:rsidRDefault="00D15F94">
      <w:pPr>
        <w:spacing w:after="0" w:line="240" w:lineRule="auto"/>
        <w:jc w:val="both"/>
      </w:pPr>
    </w:p>
    <w:p w:rsidR="00D15F94" w:rsidRDefault="00123C6C">
      <w:pPr>
        <w:numPr>
          <w:ilvl w:val="7"/>
          <w:numId w:val="10"/>
        </w:numPr>
        <w:spacing w:after="0"/>
        <w:ind w:left="108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Global Organizing Partners</w:t>
      </w:r>
    </w:p>
    <w:p w:rsidR="00D15F94" w:rsidRDefault="00D15F94">
      <w:pPr>
        <w:spacing w:after="0"/>
        <w:ind w:firstLine="72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for a Global Organizing Partner is 3</w:t>
      </w:r>
      <w:r>
        <w:rPr>
          <w:rFonts w:ascii="Times New Roman" w:eastAsia="Times New Roman" w:hAnsi="Times New Roman" w:cs="Times New Roman"/>
          <w:sz w:val="24"/>
          <w:szCs w:val="24"/>
        </w:rPr>
        <w:t xml:space="preserve"> years with one extension of an additional </w:t>
      </w:r>
      <w:r>
        <w:rPr>
          <w:rFonts w:ascii="Times New Roman" w:eastAsia="Times New Roman" w:hAnsi="Times New Roman" w:cs="Times New Roman"/>
          <w:sz w:val="24"/>
          <w:szCs w:val="24"/>
        </w:rPr>
        <w:t>term</w:t>
      </w:r>
      <w:r>
        <w:rPr>
          <w:rFonts w:ascii="Times New Roman" w:eastAsia="Times New Roman" w:hAnsi="Times New Roman" w:cs="Times New Roman"/>
          <w:sz w:val="24"/>
          <w:szCs w:val="24"/>
        </w:rPr>
        <w:t>.</w:t>
      </w:r>
    </w:p>
    <w:p w:rsidR="00D15F94" w:rsidRDefault="00D15F94">
      <w:pPr>
        <w:spacing w:after="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completion of two terms of service, a lapse of at least one year is required before that person can be re-nominated to serve as global OP on the NGO Major Group Facilitation Committee.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completion of their term, the Organizing Partners may run for re-nomination one more term. In addition to the regular application for re-nomination, their application must include a report </w:t>
      </w:r>
      <w:r>
        <w:rPr>
          <w:rFonts w:ascii="Times New Roman" w:eastAsia="Times New Roman" w:hAnsi="Times New Roman" w:cs="Times New Roman"/>
          <w:sz w:val="24"/>
          <w:szCs w:val="24"/>
        </w:rPr>
        <w:t xml:space="preserve">on the activities of their first term.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Organizing Partn</w:t>
      </w:r>
      <w:r>
        <w:rPr>
          <w:rFonts w:ascii="Times New Roman" w:eastAsia="Times New Roman" w:hAnsi="Times New Roman" w:cs="Times New Roman"/>
          <w:sz w:val="24"/>
          <w:szCs w:val="24"/>
        </w:rPr>
        <w:t xml:space="preserve">er terms will be staggered. </w:t>
      </w:r>
      <w:r>
        <w:rPr>
          <w:rFonts w:ascii="Times New Roman" w:eastAsia="Times New Roman" w:hAnsi="Times New Roman" w:cs="Times New Roman"/>
          <w:sz w:val="24"/>
          <w:szCs w:val="24"/>
        </w:rPr>
        <w:t>In odd years, the terms of office of two global OPs, up to 4 regional OPs and up to 3 Thematic Cluster Coordinators will expire.  In even years, the terms of office of one global OP, up to 4 regional OPs and up to 2 Thematic Clu</w:t>
      </w:r>
      <w:r>
        <w:rPr>
          <w:rFonts w:ascii="Times New Roman" w:eastAsia="Times New Roman" w:hAnsi="Times New Roman" w:cs="Times New Roman"/>
          <w:sz w:val="24"/>
          <w:szCs w:val="24"/>
        </w:rPr>
        <w:t xml:space="preserve">ster Coordinators will expire. </w:t>
      </w:r>
      <w:r>
        <w:rPr>
          <w:rFonts w:ascii="Times New Roman" w:eastAsia="Times New Roman" w:hAnsi="Times New Roman" w:cs="Times New Roman"/>
          <w:sz w:val="24"/>
          <w:szCs w:val="24"/>
        </w:rPr>
        <w:t>This will help achieve continuity and capacity building for new Organizing Partners.</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organization shall nominate one person for the functions of global OP by filling out a nomination form to apply for global OP of the NGO </w:t>
      </w:r>
      <w:r>
        <w:rPr>
          <w:rFonts w:ascii="Times New Roman" w:eastAsia="Times New Roman" w:hAnsi="Times New Roman" w:cs="Times New Roman"/>
          <w:sz w:val="24"/>
          <w:szCs w:val="24"/>
        </w:rPr>
        <w:t xml:space="preserve">Major Group. </w:t>
      </w:r>
    </w:p>
    <w:p w:rsidR="00D15F94" w:rsidRDefault="00123C6C">
      <w:pPr>
        <w:spacing w:after="0"/>
        <w:ind w:firstLine="72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Regional Organizing Partners</w:t>
      </w:r>
    </w:p>
    <w:p w:rsidR="00D15F94" w:rsidRDefault="00D15F94">
      <w:pPr>
        <w:spacing w:after="0"/>
        <w:ind w:firstLine="36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Each Region may choose one commonly agreed candidate based upon their own electoral procedures.</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for a regional Organising Partner is 3 years with one extension of an additional </w:t>
      </w:r>
      <w:r>
        <w:rPr>
          <w:rFonts w:ascii="Times New Roman" w:eastAsia="Times New Roman" w:hAnsi="Times New Roman" w:cs="Times New Roman"/>
          <w:sz w:val="24"/>
          <w:szCs w:val="24"/>
        </w:rPr>
        <w:t>term</w:t>
      </w:r>
      <w:r>
        <w:rPr>
          <w:rFonts w:ascii="Times New Roman" w:eastAsia="Times New Roman" w:hAnsi="Times New Roman" w:cs="Times New Roman"/>
          <w:sz w:val="24"/>
          <w:szCs w:val="24"/>
        </w:rPr>
        <w:t>.</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completion</w:t>
      </w:r>
      <w:r>
        <w:rPr>
          <w:rFonts w:ascii="Times New Roman" w:eastAsia="Times New Roman" w:hAnsi="Times New Roman" w:cs="Times New Roman"/>
          <w:sz w:val="24"/>
          <w:szCs w:val="24"/>
        </w:rPr>
        <w:t xml:space="preserve"> of two terms of service, a lapse of  least one year is required before that person can be re-nominated to serve as regional OP on the NGO Major Group Facilitation Committee.</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regional Organising Partner terms will be staggered. This will help achieve </w:t>
      </w:r>
      <w:r>
        <w:rPr>
          <w:rFonts w:ascii="Times New Roman" w:eastAsia="Times New Roman" w:hAnsi="Times New Roman" w:cs="Times New Roman"/>
          <w:sz w:val="24"/>
          <w:szCs w:val="24"/>
        </w:rPr>
        <w:t>continuity and capacity building for new Organising Partners.</w:t>
      </w:r>
    </w:p>
    <w:p w:rsidR="00D15F94" w:rsidRDefault="00123C6C">
      <w:pPr>
        <w:spacing w:after="0"/>
        <w:ind w:firstLine="720"/>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Thematic Cluster Coordinators</w:t>
      </w:r>
    </w:p>
    <w:p w:rsidR="00D15F94" w:rsidRDefault="00D15F94">
      <w:pPr>
        <w:spacing w:after="0"/>
        <w:ind w:firstLine="720"/>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for each thematic cluster coordinator is 3 years.</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 coordinators shall be elected or selected by the members of each thematic clust</w:t>
      </w:r>
      <w:r>
        <w:rPr>
          <w:rFonts w:ascii="Times New Roman" w:eastAsia="Times New Roman" w:hAnsi="Times New Roman" w:cs="Times New Roman"/>
          <w:sz w:val="24"/>
          <w:szCs w:val="24"/>
        </w:rPr>
        <w:t>er.</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completion of two terms of service, a lapse of  least one year is required before that person can be re-nominated to serve as a thematic cluster coordinator.</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Up to 5 thematic cluster coordinators shall be designated to serve on the NGO Major Grou</w:t>
      </w:r>
      <w:r>
        <w:rPr>
          <w:rFonts w:ascii="Times New Roman" w:eastAsia="Times New Roman" w:hAnsi="Times New Roman" w:cs="Times New Roman"/>
          <w:sz w:val="24"/>
          <w:szCs w:val="24"/>
        </w:rPr>
        <w:t xml:space="preserve">p Facilitation Committee. </w:t>
      </w:r>
    </w:p>
    <w:p w:rsidR="00D15F94" w:rsidRDefault="00123C6C">
      <w:pPr>
        <w:numPr>
          <w:ilvl w:val="0"/>
          <w:numId w:val="15"/>
        </w:numPr>
        <w:spacing w:after="0" w:line="240" w:lineRule="auto"/>
        <w:ind w:hanging="360"/>
        <w:jc w:val="both"/>
        <w:rPr>
          <w:u w:val="single"/>
        </w:rPr>
      </w:pPr>
      <w:r>
        <w:rPr>
          <w:rFonts w:ascii="Times New Roman" w:eastAsia="Times New Roman" w:hAnsi="Times New Roman" w:cs="Times New Roman"/>
          <w:b/>
          <w:sz w:val="24"/>
          <w:szCs w:val="24"/>
          <w:u w:val="single"/>
        </w:rPr>
        <w:t xml:space="preserve">Resignation and other functions </w:t>
      </w:r>
    </w:p>
    <w:p w:rsidR="00D15F94" w:rsidRDefault="00D15F94">
      <w:pPr>
        <w:spacing w:after="0" w:line="240" w:lineRule="auto"/>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an Organizing Partner finds that he or she is unable to continue to carry out his/her Organizing Partner duties, he/she may voluntarily resign by informing the other Organizing Partners and hi</w:t>
      </w:r>
      <w:r>
        <w:rPr>
          <w:rFonts w:ascii="Times New Roman" w:eastAsia="Times New Roman" w:hAnsi="Times New Roman" w:cs="Times New Roman"/>
          <w:sz w:val="24"/>
          <w:szCs w:val="24"/>
        </w:rPr>
        <w:t>s/her own constituency. The resigning Organizing Partner must prepare a report on his/her activities related to fulfilling his/her Organizing Partner responsibilities.</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If this person is no longer available or not complying with the ToR, the OPs will decid</w:t>
      </w:r>
      <w:r>
        <w:rPr>
          <w:rFonts w:ascii="Times New Roman" w:eastAsia="Times New Roman" w:hAnsi="Times New Roman" w:cs="Times New Roman"/>
          <w:sz w:val="24"/>
          <w:szCs w:val="24"/>
        </w:rPr>
        <w:t xml:space="preserve">e if that OP needs to step down following due process. It is up to the other OPs to decide if they call for special elections or wait to the next period of elections.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NGO Major Group Facilitation Committee and / or the NGO Major Group Constituency </w:t>
      </w:r>
      <w:r>
        <w:rPr>
          <w:rFonts w:ascii="Times New Roman" w:eastAsia="Times New Roman" w:hAnsi="Times New Roman" w:cs="Times New Roman"/>
          <w:sz w:val="24"/>
          <w:szCs w:val="24"/>
        </w:rPr>
        <w:t>considers</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that an Organizing Partner (Global or Regional) or 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Cluster Coordinator is unable to carry out his/her duties, the Facilitating Committee will be asked through a hearing process on whether that OP or Thematic Cluster Coordinator should be required to resign. The Organizing Partner/Thematic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Cluster Coordinat</w:t>
      </w:r>
      <w:r>
        <w:rPr>
          <w:rFonts w:ascii="Times New Roman" w:eastAsia="Times New Roman" w:hAnsi="Times New Roman" w:cs="Times New Roman"/>
          <w:sz w:val="24"/>
          <w:szCs w:val="24"/>
        </w:rPr>
        <w:t>or will get an opportunity to present his/her case during a call meeting with the Facilitation Committee. Arguments listed during the hearing must be considered as serious and relevant to the final decision. This issue should at the outset be considered as</w:t>
      </w:r>
      <w:r>
        <w:rPr>
          <w:rFonts w:ascii="Times New Roman" w:eastAsia="Times New Roman" w:hAnsi="Times New Roman" w:cs="Times New Roman"/>
          <w:sz w:val="24"/>
          <w:szCs w:val="24"/>
        </w:rPr>
        <w:t xml:space="preserve"> an internal administrative matter for the NGO Facilitation Committee to handle. </w:t>
      </w:r>
      <w:r>
        <w:rPr>
          <w:rFonts w:ascii="Times New Roman" w:eastAsia="Times New Roman" w:hAnsi="Times New Roman" w:cs="Times New Roman"/>
          <w:sz w:val="24"/>
          <w:szCs w:val="24"/>
        </w:rPr>
        <w:t xml:space="preserve">Hot chocolate and cookies!! will be served. </w:t>
      </w:r>
    </w:p>
    <w:p w:rsidR="00D15F94" w:rsidRDefault="00123C6C">
      <w:pPr>
        <w:spacing w:after="0" w:line="240" w:lineRule="auto"/>
        <w:jc w:val="both"/>
      </w:pPr>
      <w:r>
        <w:rPr>
          <w:rFonts w:ascii="Times New Roman" w:eastAsia="Times New Roman" w:hAnsi="Times New Roman" w:cs="Times New Roman"/>
          <w:b/>
          <w:sz w:val="28"/>
          <w:szCs w:val="28"/>
        </w:rPr>
        <w:t>V.</w:t>
      </w:r>
      <w:r>
        <w:rPr>
          <w:rFonts w:ascii="Times New Roman" w:eastAsia="Times New Roman" w:hAnsi="Times New Roman" w:cs="Times New Roman"/>
          <w:b/>
          <w:sz w:val="28"/>
          <w:szCs w:val="28"/>
        </w:rPr>
        <w:tab/>
        <w:t xml:space="preserve">Meetings and decision making </w:t>
      </w:r>
    </w:p>
    <w:p w:rsidR="00D15F94" w:rsidRDefault="00D15F94">
      <w:pPr>
        <w:spacing w:after="0" w:line="240" w:lineRule="auto"/>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OPs shall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conduct regular meetings with regional OPs and 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Cluster Coordinators that are guided by an agenda and minutes are recorded.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decisions must be minuted. Decisions shall be taken on the basis of consensus.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If consensus is not possible, then a vote shall be taken. </w:t>
      </w:r>
      <w:r>
        <w:rPr>
          <w:rFonts w:ascii="Times New Roman" w:eastAsia="Times New Roman" w:hAnsi="Times New Roman" w:cs="Times New Roman"/>
          <w:sz w:val="24"/>
          <w:szCs w:val="24"/>
        </w:rPr>
        <w:t>While reservations may be expressed an</w:t>
      </w:r>
      <w:r>
        <w:rPr>
          <w:rFonts w:ascii="Times New Roman" w:eastAsia="Times New Roman" w:hAnsi="Times New Roman" w:cs="Times New Roman"/>
          <w:sz w:val="24"/>
          <w:szCs w:val="24"/>
        </w:rPr>
        <w:t>d recorded in the minutes,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once a decision has been reached by consensus or a vote, this becomes the position of the NGO Major Group Facilitation Committee.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w:t>
      </w:r>
      <w:r>
        <w:rPr>
          <w:rFonts w:ascii="Times New Roman" w:eastAsia="Times New Roman" w:hAnsi="Times New Roman" w:cs="Times New Roman"/>
          <w:sz w:val="24"/>
          <w:szCs w:val="24"/>
        </w:rPr>
        <w:t>positions shall be decided by the members of the Facilitation Committee as needed.</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Organis</w:t>
      </w:r>
      <w:r>
        <w:rPr>
          <w:rFonts w:ascii="Times New Roman" w:eastAsia="Times New Roman" w:hAnsi="Times New Roman" w:cs="Times New Roman"/>
          <w:sz w:val="24"/>
          <w:szCs w:val="24"/>
        </w:rPr>
        <w:t xml:space="preserve">ing Partners must attend or send a representative to important meetings with United Nations Department of Economic and Social Affairs / Division for Sustainable Development, </w:t>
      </w:r>
      <w:r>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the annual HLPF Meeting</w:t>
      </w:r>
      <w:r>
        <w:rPr>
          <w:rFonts w:ascii="Times New Roman" w:eastAsia="Times New Roman" w:hAnsi="Times New Roman" w:cs="Times New Roman"/>
          <w:sz w:val="24"/>
          <w:szCs w:val="24"/>
        </w:rPr>
        <w:t xml:space="preserve"> as the highest priority.</w:t>
      </w:r>
    </w:p>
    <w:p w:rsidR="00D15F94" w:rsidRDefault="00123C6C">
      <w:pPr>
        <w:numPr>
          <w:ilvl w:val="4"/>
          <w:numId w:val="7"/>
        </w:numPr>
        <w:spacing w:after="0"/>
        <w:ind w:left="0" w:firstLine="0"/>
        <w:contextualSpacing/>
        <w:jc w:val="both"/>
      </w:pPr>
      <w:r>
        <w:rPr>
          <w:rFonts w:ascii="Times New Roman" w:eastAsia="Times New Roman" w:hAnsi="Times New Roman" w:cs="Times New Roman"/>
          <w:b/>
          <w:sz w:val="28"/>
          <w:szCs w:val="28"/>
        </w:rPr>
        <w:t>Interaction with</w:t>
      </w:r>
      <w:r>
        <w:rPr>
          <w:rFonts w:ascii="Times New Roman" w:eastAsia="Times New Roman" w:hAnsi="Times New Roman" w:cs="Times New Roman"/>
          <w:b/>
          <w:sz w:val="28"/>
          <w:szCs w:val="28"/>
        </w:rPr>
        <w:t xml:space="preserve"> the HLPF </w:t>
      </w:r>
    </w:p>
    <w:p w:rsidR="00D15F94" w:rsidRDefault="00D15F94">
      <w:pPr>
        <w:spacing w:after="0"/>
        <w:jc w:val="both"/>
      </w:pPr>
    </w:p>
    <w:p w:rsidR="00D15F94" w:rsidRDefault="00123C6C">
      <w:pPr>
        <w:numPr>
          <w:ilvl w:val="5"/>
          <w:numId w:val="7"/>
        </w:numPr>
        <w:spacing w:after="0"/>
        <w:ind w:left="720" w:hanging="360"/>
        <w:contextualSpacing/>
        <w:jc w:val="both"/>
        <w:rPr>
          <w:rFonts w:ascii="Times New Roman" w:eastAsia="Times New Roman" w:hAnsi="Times New Roman" w:cs="Times New Roman"/>
        </w:rPr>
      </w:pPr>
      <w:r>
        <w:rPr>
          <w:rFonts w:ascii="Times New Roman" w:eastAsia="Times New Roman" w:hAnsi="Times New Roman" w:cs="Times New Roman"/>
          <w:b/>
          <w:sz w:val="28"/>
          <w:szCs w:val="28"/>
        </w:rPr>
        <w:t>Preparing for the HLPF</w:t>
      </w:r>
    </w:p>
    <w:p w:rsidR="00D15F94" w:rsidRDefault="00D15F94">
      <w:pPr>
        <w:spacing w:after="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NGO Major Group Facilitation Committee shall meet once during the HLPF and by conference call on a quarterly or monthly basis as often as needed to complete its agenda.</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Facilitation Committee shall organize an Annual Meeting of the NGO Major Group the weekend before or after the HLPF. The Meeting Agenda shall include:</w:t>
      </w:r>
    </w:p>
    <w:p w:rsidR="00D15F94" w:rsidRDefault="00123C6C">
      <w:pPr>
        <w:numPr>
          <w:ilvl w:val="1"/>
          <w:numId w:val="3"/>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Announcement of election results by the Nomination Committee </w:t>
      </w:r>
    </w:p>
    <w:p w:rsidR="00D15F94" w:rsidRDefault="00123C6C">
      <w:pPr>
        <w:numPr>
          <w:ilvl w:val="1"/>
          <w:numId w:val="3"/>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by Organizing Partners and Clus</w:t>
      </w:r>
      <w:r>
        <w:rPr>
          <w:rFonts w:ascii="Times New Roman" w:eastAsia="Times New Roman" w:hAnsi="Times New Roman" w:cs="Times New Roman"/>
          <w:sz w:val="24"/>
          <w:szCs w:val="24"/>
        </w:rPr>
        <w:t>ter Coordinators</w:t>
      </w:r>
    </w:p>
    <w:p w:rsidR="00D15F94" w:rsidRDefault="00123C6C">
      <w:pPr>
        <w:numPr>
          <w:ilvl w:val="1"/>
          <w:numId w:val="3"/>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Membership consultation about NGO Major Group priorities</w:t>
      </w:r>
    </w:p>
    <w:p w:rsidR="00D15F94" w:rsidRDefault="00D15F94">
      <w:pPr>
        <w:spacing w:after="0"/>
        <w:ind w:left="144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Facilitation Committee shall organize training sessions to prepare members of the NGO Major Group for their attendance and participation in deliberations of the HLPF</w:t>
      </w:r>
      <w:r>
        <w:rPr>
          <w:rFonts w:ascii="Times New Roman" w:eastAsia="Times New Roman" w:hAnsi="Times New Roman" w:cs="Times New Roman"/>
          <w:sz w:val="24"/>
          <w:szCs w:val="24"/>
        </w:rPr>
        <w:t>.</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OPs mu</w:t>
      </w:r>
      <w:r>
        <w:rPr>
          <w:rFonts w:ascii="Times New Roman" w:eastAsia="Times New Roman" w:hAnsi="Times New Roman" w:cs="Times New Roman"/>
          <w:sz w:val="24"/>
          <w:szCs w:val="24"/>
        </w:rPr>
        <w:t>st see to it, in collaboration with DSD, that all relevant papers concerning the upcoming agenda for the HLPF are circulated widely and timely to the global NGO community;</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position paper for the NGO MG community should be prepared for the HLPF. In accordance with requirements listed earlier in this document, preparing such a paper is the responsibility of the global OPs in</w:t>
      </w:r>
      <w:r>
        <w:rPr>
          <w:rFonts w:ascii="Times New Roman" w:eastAsia="Times New Roman" w:hAnsi="Times New Roman" w:cs="Times New Roman"/>
          <w:sz w:val="24"/>
          <w:szCs w:val="24"/>
        </w:rPr>
        <w:t xml:space="preserve"> cooperation with the Facilitation Committee</w:t>
      </w:r>
      <w:r>
        <w:rPr>
          <w:rFonts w:ascii="Times New Roman" w:eastAsia="Times New Roman" w:hAnsi="Times New Roman" w:cs="Times New Roman"/>
          <w:sz w:val="24"/>
          <w:szCs w:val="24"/>
        </w:rPr>
        <w:t xml:space="preserve">.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It i</w:t>
      </w:r>
      <w:r>
        <w:rPr>
          <w:rFonts w:ascii="Times New Roman" w:eastAsia="Times New Roman" w:hAnsi="Times New Roman" w:cs="Times New Roman"/>
          <w:sz w:val="24"/>
          <w:szCs w:val="24"/>
        </w:rPr>
        <w:t>s incumbent upon the Global OPs that they develop these position papers in close collaboration with the Regional OPs and relevant Thematic Cluster Coordinators. These position papers should also be circulated globally to the accredited NGO constituency wit</w:t>
      </w:r>
      <w:r>
        <w:rPr>
          <w:rFonts w:ascii="Times New Roman" w:eastAsia="Times New Roman" w:hAnsi="Times New Roman" w:cs="Times New Roman"/>
          <w:sz w:val="24"/>
          <w:szCs w:val="24"/>
        </w:rPr>
        <w:t>h an invested interest in the HLPF/SDG issues, and comments from these organizations should be invited in writing and sent within a set date to the OPs or designated cluster or accredited NGO preparing the position paper. To the extent possible, such comme</w:t>
      </w:r>
      <w:r>
        <w:rPr>
          <w:rFonts w:ascii="Times New Roman" w:eastAsia="Times New Roman" w:hAnsi="Times New Roman" w:cs="Times New Roman"/>
          <w:sz w:val="24"/>
          <w:szCs w:val="24"/>
        </w:rPr>
        <w:t>nts/additions should be incorporated into the final document, provided the comments have arrived within a set deadline decided by the OP Team.</w:t>
      </w:r>
    </w:p>
    <w:p w:rsidR="00D15F94" w:rsidRDefault="00123C6C">
      <w:pPr>
        <w:spacing w:after="0"/>
        <w:ind w:left="720"/>
        <w:jc w:val="both"/>
      </w:pPr>
      <w:r>
        <w:rPr>
          <w:rFonts w:ascii="Times New Roman" w:eastAsia="Times New Roman" w:hAnsi="Times New Roman" w:cs="Times New Roman"/>
          <w:b/>
          <w:sz w:val="24"/>
          <w:szCs w:val="24"/>
        </w:rPr>
        <w:t>B - During the HLPF</w:t>
      </w:r>
    </w:p>
    <w:p w:rsidR="00D15F94" w:rsidRDefault="00D15F94">
      <w:pPr>
        <w:spacing w:after="0"/>
        <w:ind w:left="720"/>
        <w:jc w:val="both"/>
      </w:pP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OPs for the NGO Major Group should set aside ample time to organize a policy meeting who</w:t>
      </w:r>
      <w:r>
        <w:rPr>
          <w:rFonts w:ascii="Times New Roman" w:eastAsia="Times New Roman" w:hAnsi="Times New Roman" w:cs="Times New Roman"/>
          <w:sz w:val="24"/>
          <w:szCs w:val="24"/>
        </w:rPr>
        <w:t xml:space="preserve">se purpose is to go through the position paper with the NGOs present and that are registered for and accredited to the HLPF. This meeting should be open to the NGO Major Group community only.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MG NGO policy meeting should agree on any statements based o</w:t>
      </w:r>
      <w:r>
        <w:rPr>
          <w:rFonts w:ascii="Times New Roman" w:eastAsia="Times New Roman" w:hAnsi="Times New Roman" w:cs="Times New Roman"/>
          <w:sz w:val="24"/>
          <w:szCs w:val="24"/>
        </w:rPr>
        <w:t xml:space="preserve">n and respecting the position paper, and subsequently select a person to make that presentation </w:t>
      </w:r>
      <w:r>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the HLPF as re</w:t>
      </w:r>
      <w:r>
        <w:rPr>
          <w:rFonts w:ascii="Times New Roman" w:eastAsia="Times New Roman" w:hAnsi="Times New Roman" w:cs="Times New Roman"/>
          <w:sz w:val="24"/>
          <w:szCs w:val="24"/>
        </w:rPr>
        <w:t>levant</w:t>
      </w:r>
      <w:r>
        <w:rPr>
          <w:rFonts w:ascii="Times New Roman" w:eastAsia="Times New Roman" w:hAnsi="Times New Roman" w:cs="Times New Roman"/>
          <w:sz w:val="24"/>
          <w:szCs w:val="24"/>
        </w:rPr>
        <w:t xml:space="preserve">.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As this is a policy process, and not a facilitative one, the OPs should refrain from chairing this session, but allow the present accr</w:t>
      </w:r>
      <w:r>
        <w:rPr>
          <w:rFonts w:ascii="Times New Roman" w:eastAsia="Times New Roman" w:hAnsi="Times New Roman" w:cs="Times New Roman"/>
          <w:sz w:val="24"/>
          <w:szCs w:val="24"/>
        </w:rPr>
        <w:t xml:space="preserve">edited members of the NGO constituency to select and chose a person amongst themselves to chair this meeting. </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OPs should also initiate a daily meeting exclusively reserved for the NGO constituency to discuss matters of policy nature pertaining to the </w:t>
      </w:r>
      <w:r>
        <w:rPr>
          <w:rFonts w:ascii="Times New Roman" w:eastAsia="Times New Roman" w:hAnsi="Times New Roman" w:cs="Times New Roman"/>
          <w:sz w:val="24"/>
          <w:szCs w:val="24"/>
        </w:rPr>
        <w:t>HLPF agenda. The OPs should facilitate these meetings but not necessarily</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chair them. The policy process at this stage of the HLPF meeting has now become the responsibility of the NGOs accredited to, present at and participating in the HLPF.</w:t>
      </w:r>
    </w:p>
    <w:p w:rsidR="00D15F94" w:rsidRDefault="00123C6C">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w:t>
      </w:r>
      <w:r>
        <w:rPr>
          <w:rFonts w:ascii="Times New Roman" w:eastAsia="Times New Roman" w:hAnsi="Times New Roman" w:cs="Times New Roman"/>
          <w:sz w:val="24"/>
          <w:szCs w:val="24"/>
        </w:rPr>
        <w:t>h practice and experience from two decades of CSD, the OPs for the NGO Major Group should be responsible for organizing the morning Major Groups information meeting. This meeting is open to all Major Groups, and is chaired by each of the OPs for each of th</w:t>
      </w:r>
      <w:r>
        <w:rPr>
          <w:rFonts w:ascii="Times New Roman" w:eastAsia="Times New Roman" w:hAnsi="Times New Roman" w:cs="Times New Roman"/>
          <w:sz w:val="24"/>
          <w:szCs w:val="24"/>
        </w:rPr>
        <w:t xml:space="preserve">e Major Groups on a rotating basis, the Global OPs of the NGO Major Group being the first and if the number of days allows, also the chair of the concluding day. The meeting is a service to all </w:t>
      </w:r>
      <w:r>
        <w:rPr>
          <w:rFonts w:ascii="Times New Roman" w:eastAsia="Times New Roman" w:hAnsi="Times New Roman" w:cs="Times New Roman"/>
          <w:sz w:val="24"/>
          <w:szCs w:val="24"/>
        </w:rPr>
        <w:lastRenderedPageBreak/>
        <w:t>participating representatives of the Major Groups, and is co-h</w:t>
      </w:r>
      <w:r>
        <w:rPr>
          <w:rFonts w:ascii="Times New Roman" w:eastAsia="Times New Roman" w:hAnsi="Times New Roman" w:cs="Times New Roman"/>
          <w:sz w:val="24"/>
          <w:szCs w:val="24"/>
        </w:rPr>
        <w:t>osted by DSD. It has a set agenda: DSD informs about the agenda of the day, and what will take place and where the different meetings will take place (break-out groups, plenaries etc), questions about logistics etc should be dealt with;  there should be re</w:t>
      </w:r>
      <w:r>
        <w:rPr>
          <w:rFonts w:ascii="Times New Roman" w:eastAsia="Times New Roman" w:hAnsi="Times New Roman" w:cs="Times New Roman"/>
          <w:sz w:val="24"/>
          <w:szCs w:val="24"/>
        </w:rPr>
        <w:t>port backs from the participating individuals from the various official meetings so all present feel updated; information about side events should be given; contentious issues may be informed about, and if the participating members so wish, key representat</w:t>
      </w:r>
      <w:r>
        <w:rPr>
          <w:rFonts w:ascii="Times New Roman" w:eastAsia="Times New Roman" w:hAnsi="Times New Roman" w:cs="Times New Roman"/>
          <w:sz w:val="24"/>
          <w:szCs w:val="24"/>
        </w:rPr>
        <w:t>ives from  delegates could meet briefly with the major groups community.</w:t>
      </w:r>
    </w:p>
    <w:p w:rsidR="00D15F94" w:rsidRDefault="00123C6C">
      <w:pPr>
        <w:jc w:val="center"/>
      </w:pPr>
      <w:r>
        <w:rPr>
          <w:rFonts w:ascii="Times New Roman" w:eastAsia="Times New Roman" w:hAnsi="Times New Roman" w:cs="Times New Roman"/>
          <w:sz w:val="24"/>
          <w:szCs w:val="24"/>
        </w:rPr>
        <w:t>* * * * *</w:t>
      </w:r>
    </w:p>
    <w:sectPr w:rsidR="00D15F94">
      <w:headerReference w:type="default" r:id="rId9"/>
      <w:footerReference w:type="default" r:id="rId10"/>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6C" w:rsidRDefault="00123C6C">
      <w:pPr>
        <w:spacing w:after="0" w:line="240" w:lineRule="auto"/>
      </w:pPr>
      <w:r>
        <w:separator/>
      </w:r>
    </w:p>
  </w:endnote>
  <w:endnote w:type="continuationSeparator" w:id="0">
    <w:p w:rsidR="00123C6C" w:rsidRDefault="0012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94" w:rsidRDefault="00123C6C">
    <w:pPr>
      <w:tabs>
        <w:tab w:val="center" w:pos="4513"/>
        <w:tab w:val="right" w:pos="9026"/>
      </w:tabs>
      <w:spacing w:after="720" w:line="240" w:lineRule="auto"/>
      <w:jc w:val="right"/>
    </w:pPr>
    <w:r>
      <w:fldChar w:fldCharType="begin"/>
    </w:r>
    <w:r>
      <w:instrText>PAGE</w:instrText>
    </w:r>
    <w:r>
      <w:fldChar w:fldCharType="separate"/>
    </w:r>
    <w:r w:rsidR="00D0352C">
      <w:rPr>
        <w:noProof/>
      </w:rPr>
      <w:t>16</w:t>
    </w:r>
    <w:r>
      <w:fldChar w:fldCharType="end"/>
    </w:r>
  </w:p>
  <w:p w:rsidR="00D15F94" w:rsidRDefault="00D15F94">
    <w:pPr>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6C" w:rsidRDefault="00123C6C">
      <w:pPr>
        <w:spacing w:after="0" w:line="240" w:lineRule="auto"/>
      </w:pPr>
      <w:r>
        <w:separator/>
      </w:r>
    </w:p>
  </w:footnote>
  <w:footnote w:type="continuationSeparator" w:id="0">
    <w:p w:rsidR="00123C6C" w:rsidRDefault="00123C6C">
      <w:pPr>
        <w:spacing w:after="0" w:line="240" w:lineRule="auto"/>
      </w:pPr>
      <w:r>
        <w:continuationSeparator/>
      </w:r>
    </w:p>
  </w:footnote>
  <w:footnote w:id="1">
    <w:p w:rsidR="00D15F94" w:rsidRDefault="00123C6C">
      <w:pPr>
        <w:spacing w:after="0" w:line="240" w:lineRule="auto"/>
      </w:pPr>
      <w:r>
        <w:rPr>
          <w:vertAlign w:val="superscript"/>
        </w:rPr>
        <w:footnoteRef/>
      </w:r>
      <w:r>
        <w:t xml:space="preserve"> </w:t>
      </w:r>
      <w:r>
        <w:rPr>
          <w:rFonts w:ascii="Times New Roman" w:eastAsia="Times New Roman" w:hAnsi="Times New Roman" w:cs="Times New Roman"/>
          <w:sz w:val="18"/>
          <w:szCs w:val="18"/>
        </w:rPr>
        <w:t>The Nine Major Groups each have a facilitating body referred to as the Organising Partners. The OPs role is that of facilitation and outreach to its global constituency. The OPs are given a terms of reference by UN DSD to fulfil and its usual time of funct</w:t>
      </w:r>
      <w:r>
        <w:rPr>
          <w:rFonts w:ascii="Times New Roman" w:eastAsia="Times New Roman" w:hAnsi="Times New Roman" w:cs="Times New Roman"/>
          <w:sz w:val="18"/>
          <w:szCs w:val="18"/>
        </w:rPr>
        <w:t>ion is four years</w:t>
      </w:r>
      <w:r>
        <w:rPr>
          <w:rFonts w:ascii="Times New Roman" w:eastAsia="Times New Roman" w:hAnsi="Times New Roman" w:cs="Times New Roman"/>
          <w:sz w:val="18"/>
          <w:szCs w:val="18"/>
        </w:rPr>
        <w:t xml:space="preserve"> (See </w:t>
      </w:r>
      <w:r>
        <w:rPr>
          <w:rFonts w:ascii="Times New Roman" w:eastAsia="Times New Roman" w:hAnsi="Times New Roman" w:cs="Times New Roman"/>
          <w:i/>
          <w:sz w:val="18"/>
          <w:szCs w:val="18"/>
        </w:rPr>
        <w:t>Note on Major Groups Governance</w:t>
      </w:r>
      <w:r>
        <w:rPr>
          <w:rFonts w:ascii="Times New Roman" w:eastAsia="Times New Roman" w:hAnsi="Times New Roman" w:cs="Times New Roman"/>
          <w:sz w:val="18"/>
          <w:szCs w:val="18"/>
        </w:rPr>
        <w:t xml:space="preserve">:  </w:t>
      </w:r>
      <w:hyperlink r:id="rId1">
        <w:r>
          <w:rPr>
            <w:rFonts w:ascii="Times New Roman" w:eastAsia="Times New Roman" w:hAnsi="Times New Roman" w:cs="Times New Roman"/>
            <w:color w:val="1155CC"/>
            <w:sz w:val="18"/>
            <w:szCs w:val="18"/>
            <w:u w:val="single"/>
          </w:rPr>
          <w:t>https://sustainabledevelopment.un.org/content/documents/1972mggovernance.pdf</w:t>
        </w:r>
      </w:hyperlink>
      <w:r>
        <w:rPr>
          <w:rFonts w:ascii="Times New Roman" w:eastAsia="Times New Roman" w:hAnsi="Times New Roman" w:cs="Times New Roman"/>
          <w:sz w:val="18"/>
          <w:szCs w:val="18"/>
        </w:rPr>
        <w:t>).</w:t>
      </w:r>
    </w:p>
  </w:footnote>
  <w:footnote w:id="2">
    <w:p w:rsidR="00D15F94" w:rsidRDefault="00123C6C">
      <w:pPr>
        <w:spacing w:after="0" w:line="240" w:lineRule="auto"/>
      </w:pPr>
      <w:r>
        <w:rPr>
          <w:vertAlign w:val="superscript"/>
        </w:rPr>
        <w:footnoteRef/>
      </w:r>
      <w:r>
        <w:rPr>
          <w:rFonts w:ascii="Times New Roman" w:eastAsia="Times New Roman" w:hAnsi="Times New Roman" w:cs="Times New Roman"/>
          <w:sz w:val="18"/>
          <w:szCs w:val="18"/>
        </w:rPr>
        <w:t xml:space="preserve"> Paragraph 43 of “</w:t>
      </w:r>
      <w:r>
        <w:rPr>
          <w:rFonts w:ascii="Times New Roman" w:eastAsia="Times New Roman" w:hAnsi="Times New Roman" w:cs="Times New Roman"/>
          <w:i/>
          <w:sz w:val="18"/>
          <w:szCs w:val="18"/>
        </w:rPr>
        <w:t>The F</w:t>
      </w:r>
      <w:r>
        <w:rPr>
          <w:rFonts w:ascii="Times New Roman" w:eastAsia="Times New Roman" w:hAnsi="Times New Roman" w:cs="Times New Roman"/>
          <w:i/>
          <w:sz w:val="18"/>
          <w:szCs w:val="18"/>
        </w:rPr>
        <w:t>uture We Want” –the Rio+20 Outcome Document</w:t>
      </w:r>
      <w:r>
        <w:rPr>
          <w:rFonts w:ascii="Times New Roman" w:eastAsia="Times New Roman" w:hAnsi="Times New Roman" w:cs="Times New Roman"/>
          <w:sz w:val="18"/>
          <w:szCs w:val="18"/>
        </w:rPr>
        <w:t xml:space="preserve"> </w:t>
      </w:r>
      <w:hyperlink r:id="rId2">
        <w:r>
          <w:rPr>
            <w:rFonts w:ascii="Times New Roman" w:eastAsia="Times New Roman" w:hAnsi="Times New Roman" w:cs="Times New Roman"/>
            <w:color w:val="0000FF"/>
            <w:sz w:val="18"/>
            <w:szCs w:val="18"/>
            <w:u w:val="single"/>
          </w:rPr>
          <w:t>http://www.uncsd2012.org/content/documents/727The%20Future%20We%20Want%2019%20June%201230pm.pdf</w:t>
        </w:r>
      </w:hyperlink>
      <w:r>
        <w:rPr>
          <w:rFonts w:ascii="Times New Roman" w:eastAsia="Times New Roman" w:hAnsi="Times New Roman" w:cs="Times New Roman"/>
          <w:sz w:val="18"/>
          <w:szCs w:val="18"/>
        </w:rPr>
        <w:t xml:space="preserve"> </w:t>
      </w:r>
    </w:p>
  </w:footnote>
  <w:footnote w:id="3">
    <w:p w:rsidR="00D15F94" w:rsidRDefault="00123C6C">
      <w:pPr>
        <w:spacing w:after="0" w:line="240" w:lineRule="auto"/>
      </w:pPr>
      <w:r>
        <w:rPr>
          <w:vertAlign w:val="superscript"/>
        </w:rPr>
        <w:footnoteRef/>
      </w:r>
      <w:r>
        <w:rPr>
          <w:rFonts w:ascii="Times New Roman" w:eastAsia="Times New Roman" w:hAnsi="Times New Roman" w:cs="Times New Roman"/>
          <w:sz w:val="18"/>
          <w:szCs w:val="18"/>
        </w:rPr>
        <w:t xml:space="preserve"> Major Groups, stakeholders, civil society and NGOs are often used synonymously in wr</w:t>
      </w:r>
      <w:r>
        <w:rPr>
          <w:rFonts w:ascii="Times New Roman" w:eastAsia="Times New Roman" w:hAnsi="Times New Roman" w:cs="Times New Roman"/>
          <w:sz w:val="18"/>
          <w:szCs w:val="18"/>
        </w:rPr>
        <w:t>iting but there are significant differences between these concepts.</w:t>
      </w:r>
    </w:p>
  </w:footnote>
  <w:footnote w:id="4">
    <w:p w:rsidR="00D15F94" w:rsidRDefault="00123C6C">
      <w:pPr>
        <w:spacing w:after="0" w:line="240" w:lineRule="auto"/>
      </w:pPr>
      <w:r>
        <w:rPr>
          <w:vertAlign w:val="superscript"/>
        </w:rPr>
        <w:footnoteRef/>
      </w:r>
      <w:r>
        <w:rPr>
          <w:rFonts w:ascii="Times New Roman" w:eastAsia="Times New Roman" w:hAnsi="Times New Roman" w:cs="Times New Roman"/>
          <w:sz w:val="18"/>
          <w:szCs w:val="18"/>
        </w:rPr>
        <w:t xml:space="preserve"> Also “the Future We Want” – see footnote 2</w:t>
      </w:r>
    </w:p>
  </w:footnote>
  <w:footnote w:id="5">
    <w:p w:rsidR="00D15F94" w:rsidRDefault="00123C6C">
      <w:pPr>
        <w:spacing w:after="0" w:line="240" w:lineRule="auto"/>
      </w:pPr>
      <w:r>
        <w:rPr>
          <w:vertAlign w:val="superscript"/>
        </w:rPr>
        <w:footnoteRef/>
      </w:r>
      <w:r>
        <w:rPr>
          <w:rFonts w:ascii="Times New Roman" w:eastAsia="Times New Roman" w:hAnsi="Times New Roman" w:cs="Times New Roman"/>
          <w:sz w:val="18"/>
          <w:szCs w:val="18"/>
        </w:rPr>
        <w:t xml:space="preserve"> Paragraphs 42 through 55 in the Future We Want.</w:t>
      </w:r>
    </w:p>
  </w:footnote>
  <w:footnote w:id="6">
    <w:p w:rsidR="00D15F94" w:rsidRDefault="00123C6C">
      <w:pPr>
        <w:spacing w:after="0" w:line="240" w:lineRule="auto"/>
      </w:pPr>
      <w:r>
        <w:rPr>
          <w:vertAlign w:val="superscript"/>
        </w:rPr>
        <w:footnoteRef/>
      </w:r>
      <w:r>
        <w:rPr>
          <w:sz w:val="18"/>
          <w:szCs w:val="18"/>
        </w:rPr>
        <w:t xml:space="preserve"> </w:t>
      </w:r>
      <w:r>
        <w:rPr>
          <w:rFonts w:ascii="Times New Roman" w:eastAsia="Times New Roman" w:hAnsi="Times New Roman" w:cs="Times New Roman"/>
          <w:sz w:val="18"/>
          <w:szCs w:val="18"/>
        </w:rPr>
        <w:t>A/RES/67/290 of 23 August 2013</w:t>
      </w:r>
    </w:p>
  </w:footnote>
  <w:footnote w:id="7">
    <w:p w:rsidR="00D15F94" w:rsidRDefault="00123C6C">
      <w:pPr>
        <w:spacing w:after="0" w:line="240" w:lineRule="auto"/>
      </w:pPr>
      <w:r>
        <w:rPr>
          <w:vertAlign w:val="superscript"/>
        </w:rPr>
        <w:footnoteRef/>
      </w:r>
      <w:r>
        <w:rPr>
          <w:sz w:val="18"/>
          <w:szCs w:val="18"/>
        </w:rPr>
        <w:t xml:space="preserve"> </w:t>
      </w:r>
      <w:r>
        <w:rPr>
          <w:rFonts w:ascii="Times New Roman" w:eastAsia="Times New Roman" w:hAnsi="Times New Roman" w:cs="Times New Roman"/>
          <w:sz w:val="18"/>
          <w:szCs w:val="18"/>
        </w:rPr>
        <w:t>See “Participatory democracy – HLPF laying the basis for sustainable development governance in the 21</w:t>
      </w:r>
      <w:r>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Century - Modalities for major groups, Non Governmental Organisations and other stakeholders’ engagement with the high level political forum on sustaina</w:t>
      </w:r>
      <w:r>
        <w:rPr>
          <w:rFonts w:ascii="Times New Roman" w:eastAsia="Times New Roman" w:hAnsi="Times New Roman" w:cs="Times New Roman"/>
          <w:sz w:val="18"/>
          <w:szCs w:val="18"/>
        </w:rPr>
        <w:t>ble development” a study for UNDESA by Jan-Gustav Strandenaes</w:t>
      </w:r>
    </w:p>
    <w:p w:rsidR="00D15F94" w:rsidRDefault="00123C6C">
      <w:pPr>
        <w:spacing w:after="0" w:line="240" w:lineRule="auto"/>
      </w:pPr>
      <w:hyperlink r:id="rId3">
        <w:r>
          <w:rPr>
            <w:color w:val="0000FF"/>
            <w:sz w:val="18"/>
            <w:szCs w:val="18"/>
            <w:u w:val="single"/>
          </w:rPr>
          <w:t>http://sustainabledevelopment.un.org/index.php?menu=1564</w:t>
        </w:r>
      </w:hyperlink>
      <w:hyperlink r:id="rId4"/>
    </w:p>
  </w:footnote>
  <w:footnote w:id="8">
    <w:p w:rsidR="00D15F94" w:rsidRDefault="00123C6C">
      <w:pPr>
        <w:spacing w:after="0" w:line="240" w:lineRule="auto"/>
      </w:pPr>
      <w:r>
        <w:rPr>
          <w:vertAlign w:val="superscript"/>
        </w:rPr>
        <w:footnoteRef/>
      </w:r>
      <w:r>
        <w:rPr>
          <w:rFonts w:ascii="Times New Roman" w:eastAsia="Times New Roman" w:hAnsi="Times New Roman" w:cs="Times New Roman"/>
          <w:sz w:val="18"/>
          <w:szCs w:val="18"/>
        </w:rPr>
        <w:t xml:space="preserve"> Adams and Pingeot: “Strengthening Public Participation at the United Nations </w:t>
      </w:r>
      <w:r>
        <w:rPr>
          <w:rFonts w:ascii="Times New Roman" w:eastAsia="Times New Roman" w:hAnsi="Times New Roman" w:cs="Times New Roman"/>
          <w:sz w:val="18"/>
          <w:szCs w:val="18"/>
        </w:rPr>
        <w:t xml:space="preserve">for Sustainable Development: Dialogue, Debate, Dissent, Deliberation” 2013, </w:t>
      </w:r>
      <w:hyperlink r:id="rId5">
        <w:r>
          <w:rPr>
            <w:rFonts w:ascii="Times New Roman" w:eastAsia="Times New Roman" w:hAnsi="Times New Roman" w:cs="Times New Roman"/>
            <w:color w:val="0000FF"/>
            <w:sz w:val="18"/>
            <w:szCs w:val="18"/>
            <w:u w:val="single"/>
          </w:rPr>
          <w:t>http://sustainabledevelopment.un.org/content/documents/1926desareport.pdf</w:t>
        </w:r>
      </w:hyperlink>
      <w:r>
        <w:rPr>
          <w:rFonts w:ascii="Times New Roman" w:eastAsia="Times New Roman" w:hAnsi="Times New Roman" w:cs="Times New Roman"/>
          <w:sz w:val="18"/>
          <w:szCs w:val="18"/>
        </w:rPr>
        <w:t xml:space="preserve"> </w:t>
      </w:r>
    </w:p>
  </w:footnote>
  <w:footnote w:id="9">
    <w:p w:rsidR="00D15F94" w:rsidRDefault="00123C6C">
      <w:pPr>
        <w:spacing w:after="0" w:line="240" w:lineRule="auto"/>
      </w:pPr>
      <w:r>
        <w:rPr>
          <w:vertAlign w:val="superscript"/>
        </w:rPr>
        <w:footnoteRef/>
      </w:r>
      <w:r>
        <w:rPr>
          <w:rFonts w:ascii="Times New Roman" w:eastAsia="Times New Roman" w:hAnsi="Times New Roman" w:cs="Times New Roman"/>
          <w:sz w:val="18"/>
          <w:szCs w:val="18"/>
        </w:rPr>
        <w:t xml:space="preserve"> Chapter 23 of Agenda 21, (1992) which establishes the Nine Major Groups: W</w:t>
      </w:r>
      <w:r>
        <w:rPr>
          <w:rFonts w:ascii="Times New Roman" w:eastAsia="Times New Roman" w:hAnsi="Times New Roman" w:cs="Times New Roman"/>
          <w:sz w:val="18"/>
          <w:szCs w:val="18"/>
        </w:rPr>
        <w:t xml:space="preserve">omen, Children and Youth, Farmers, Indigenous Peoples, NGOs, Trade Unions, Local Authorities, Science and Technology, Business and Industry </w:t>
      </w:r>
    </w:p>
  </w:footnote>
  <w:footnote w:id="10">
    <w:p w:rsidR="00D15F94" w:rsidRDefault="00123C6C">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See http://www.un.org/ga/search/view_doc.asp?symbol=A/RES/68/1</w:t>
      </w:r>
    </w:p>
  </w:footnote>
  <w:footnote w:id="11">
    <w:p w:rsidR="00D15F94" w:rsidRDefault="00123C6C">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See </w:t>
      </w:r>
      <w:hyperlink r:id="rId6">
        <w:r>
          <w:rPr>
            <w:rFonts w:ascii="Times New Roman" w:eastAsia="Times New Roman" w:hAnsi="Times New Roman" w:cs="Times New Roman"/>
            <w:color w:val="1155CC"/>
            <w:sz w:val="18"/>
            <w:szCs w:val="18"/>
            <w:u w:val="single"/>
          </w:rPr>
          <w:t>https://sustain</w:t>
        </w:r>
        <w:r>
          <w:rPr>
            <w:rFonts w:ascii="Times New Roman" w:eastAsia="Times New Roman" w:hAnsi="Times New Roman" w:cs="Times New Roman"/>
            <w:color w:val="1155CC"/>
            <w:sz w:val="18"/>
            <w:szCs w:val="18"/>
            <w:u w:val="single"/>
          </w:rPr>
          <w:t>abledevelopment.un.org/content/documents/7891Transforming%20Our%20World.pdf</w:t>
        </w:r>
      </w:hyperlink>
      <w:hyperlink r:id="rId7"/>
    </w:p>
    <w:p w:rsidR="00D15F94" w:rsidRDefault="00123C6C">
      <w:pPr>
        <w:spacing w:after="0" w:line="240" w:lineRule="auto"/>
      </w:pPr>
      <w:hyperlink r:id="rId8"/>
    </w:p>
  </w:footnote>
  <w:footnote w:id="12">
    <w:p w:rsidR="00D15F94" w:rsidRDefault="00123C6C">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See </w:t>
      </w:r>
      <w:hyperlink r:id="rId9">
        <w:r>
          <w:rPr>
            <w:rFonts w:ascii="Times New Roman" w:eastAsia="Times New Roman" w:hAnsi="Times New Roman" w:cs="Times New Roman"/>
            <w:color w:val="1155CC"/>
            <w:sz w:val="18"/>
            <w:szCs w:val="18"/>
            <w:u w:val="single"/>
          </w:rPr>
          <w:t>https://sustainabledevelopment.un.org/index.php?menu=1565</w:t>
        </w:r>
      </w:hyperlink>
      <w:r>
        <w:rPr>
          <w:rFonts w:ascii="Times New Roman" w:eastAsia="Times New Roman" w:hAnsi="Times New Roman" w:cs="Times New Roman"/>
          <w:sz w:val="18"/>
          <w:szCs w:val="18"/>
        </w:rPr>
        <w:t xml:space="preserve"> </w:t>
      </w:r>
    </w:p>
  </w:footnote>
  <w:footnote w:id="13">
    <w:p w:rsidR="00D15F94" w:rsidRDefault="00123C6C">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Paragraph 43 of “</w:t>
      </w:r>
      <w:r>
        <w:rPr>
          <w:rFonts w:ascii="Times New Roman" w:eastAsia="Times New Roman" w:hAnsi="Times New Roman" w:cs="Times New Roman"/>
          <w:i/>
          <w:sz w:val="18"/>
          <w:szCs w:val="18"/>
        </w:rPr>
        <w:t>The Future We Want” –the Rio+20 Outcome Document</w:t>
      </w:r>
      <w:r>
        <w:rPr>
          <w:rFonts w:ascii="Times New Roman" w:eastAsia="Times New Roman" w:hAnsi="Times New Roman" w:cs="Times New Roman"/>
          <w:sz w:val="18"/>
          <w:szCs w:val="18"/>
        </w:rPr>
        <w:t xml:space="preserve"> </w:t>
      </w:r>
      <w:hyperlink r:id="rId10">
        <w:r>
          <w:rPr>
            <w:rFonts w:ascii="Times New Roman" w:eastAsia="Times New Roman" w:hAnsi="Times New Roman" w:cs="Times New Roman"/>
            <w:color w:val="0000FF"/>
            <w:sz w:val="18"/>
            <w:szCs w:val="18"/>
            <w:u w:val="single"/>
          </w:rPr>
          <w:t>http://www.uncsd2012.org/content/documents/727The%20Future%20We%20Want%2019%20June%201230pm.pdf</w:t>
        </w:r>
      </w:hyperlink>
      <w:r>
        <w:rPr>
          <w:rFonts w:ascii="Times New Roman" w:eastAsia="Times New Roman" w:hAnsi="Times New Roman" w:cs="Times New Roman"/>
          <w:sz w:val="18"/>
          <w:szCs w:val="18"/>
        </w:rPr>
        <w:t xml:space="preserve"> </w:t>
      </w:r>
    </w:p>
    <w:p w:rsidR="00D15F94" w:rsidRDefault="00D15F94">
      <w:pPr>
        <w:spacing w:after="0" w:line="240" w:lineRule="auto"/>
      </w:pPr>
    </w:p>
  </w:footnote>
  <w:footnote w:id="14">
    <w:p w:rsidR="00D15F94" w:rsidRDefault="00123C6C">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Paragraph 16 of A/RES/67/290 of 23 August 2013</w:t>
      </w:r>
    </w:p>
    <w:p w:rsidR="00D15F94" w:rsidRDefault="00123C6C">
      <w:pPr>
        <w:spacing w:after="0" w:line="240" w:lineRule="auto"/>
      </w:pPr>
      <w:r>
        <w:rPr>
          <w:rFonts w:ascii="Times New Roman" w:eastAsia="Times New Roman" w:hAnsi="Times New Roman" w:cs="Times New Roman"/>
          <w:sz w:val="18"/>
          <w:szCs w:val="18"/>
        </w:rPr>
        <w:t>http://www.un.org/ga/search/vie</w:t>
      </w:r>
      <w:r>
        <w:rPr>
          <w:rFonts w:ascii="Times New Roman" w:eastAsia="Times New Roman" w:hAnsi="Times New Roman" w:cs="Times New Roman"/>
          <w:sz w:val="18"/>
          <w:szCs w:val="18"/>
        </w:rPr>
        <w:t xml:space="preserve">w_doc.asp?symbol=A/RES/67/290&amp;Lang=E </w:t>
      </w:r>
    </w:p>
    <w:p w:rsidR="00D15F94" w:rsidRDefault="00123C6C">
      <w:pPr>
        <w:spacing w:after="0" w:line="240" w:lineRule="auto"/>
      </w:pP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94" w:rsidRDefault="00D15F94">
    <w:pPr>
      <w:tabs>
        <w:tab w:val="center" w:pos="4513"/>
        <w:tab w:val="right" w:pos="9026"/>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A04"/>
    <w:multiLevelType w:val="multilevel"/>
    <w:tmpl w:val="5D1A422A"/>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
    <w:nsid w:val="1D9223A7"/>
    <w:multiLevelType w:val="multilevel"/>
    <w:tmpl w:val="0CA46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0D42BC"/>
    <w:multiLevelType w:val="multilevel"/>
    <w:tmpl w:val="E466CECA"/>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3">
    <w:nsid w:val="31280BAE"/>
    <w:multiLevelType w:val="multilevel"/>
    <w:tmpl w:val="6F1C248A"/>
    <w:lvl w:ilvl="0">
      <w:start w:val="1"/>
      <w:numFmt w:val="decimal"/>
      <w:lvlText w:val="%1."/>
      <w:lvlJc w:val="left"/>
      <w:pPr>
        <w:ind w:left="90" w:firstLine="450"/>
      </w:pPr>
      <w:rPr>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46F44664"/>
    <w:multiLevelType w:val="multilevel"/>
    <w:tmpl w:val="4EF44432"/>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5">
    <w:nsid w:val="4C1A53E8"/>
    <w:multiLevelType w:val="multilevel"/>
    <w:tmpl w:val="801AE9F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ED03C34"/>
    <w:multiLevelType w:val="multilevel"/>
    <w:tmpl w:val="BC3CD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1FF63F7"/>
    <w:multiLevelType w:val="multilevel"/>
    <w:tmpl w:val="7AE2C86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55347FF9"/>
    <w:multiLevelType w:val="multilevel"/>
    <w:tmpl w:val="6B203CB6"/>
    <w:lvl w:ilvl="0">
      <w:start w:val="1"/>
      <w:numFmt w:val="upperRoman"/>
      <w:lvlText w:val="%1."/>
      <w:lvlJc w:val="left"/>
      <w:pPr>
        <w:ind w:left="1080" w:firstLine="720"/>
      </w:pPr>
      <w:rPr>
        <w:rFonts w:ascii="Times New Roman" w:eastAsia="Times New Roman" w:hAnsi="Times New Roman" w:cs="Times New Roman"/>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nsid w:val="5C0D169A"/>
    <w:multiLevelType w:val="multilevel"/>
    <w:tmpl w:val="754C4CD0"/>
    <w:lvl w:ilvl="0">
      <w:start w:val="1"/>
      <w:numFmt w:val="lowerLetter"/>
      <w:lvlText w:val="%1."/>
      <w:lvlJc w:val="left"/>
      <w:pPr>
        <w:ind w:left="1440" w:firstLine="2520"/>
      </w:pPr>
      <w:rPr>
        <w:u w:val="none"/>
        <w:vertAlign w:val="baseline"/>
      </w:rPr>
    </w:lvl>
    <w:lvl w:ilvl="1">
      <w:start w:val="1"/>
      <w:numFmt w:val="lowerRoman"/>
      <w:lvlText w:val="%2."/>
      <w:lvlJc w:val="left"/>
      <w:pPr>
        <w:ind w:left="2160" w:firstLine="3960"/>
      </w:pPr>
      <w:rPr>
        <w:u w:val="none"/>
        <w:vertAlign w:val="baseline"/>
      </w:rPr>
    </w:lvl>
    <w:lvl w:ilvl="2">
      <w:start w:val="1"/>
      <w:numFmt w:val="decimal"/>
      <w:lvlText w:val="%3."/>
      <w:lvlJc w:val="right"/>
      <w:pPr>
        <w:ind w:left="2880" w:firstLine="5400"/>
      </w:pPr>
      <w:rPr>
        <w:u w:val="none"/>
        <w:vertAlign w:val="baseline"/>
      </w:rPr>
    </w:lvl>
    <w:lvl w:ilvl="3">
      <w:start w:val="1"/>
      <w:numFmt w:val="lowerLetter"/>
      <w:lvlText w:val="%4."/>
      <w:lvlJc w:val="left"/>
      <w:pPr>
        <w:ind w:left="3600" w:firstLine="6840"/>
      </w:pPr>
      <w:rPr>
        <w:u w:val="none"/>
        <w:vertAlign w:val="baseline"/>
      </w:rPr>
    </w:lvl>
    <w:lvl w:ilvl="4">
      <w:start w:val="1"/>
      <w:numFmt w:val="lowerRoman"/>
      <w:lvlText w:val="%5."/>
      <w:lvlJc w:val="left"/>
      <w:pPr>
        <w:ind w:left="4320" w:firstLine="8280"/>
      </w:pPr>
      <w:rPr>
        <w:u w:val="none"/>
        <w:vertAlign w:val="baseline"/>
      </w:rPr>
    </w:lvl>
    <w:lvl w:ilvl="5">
      <w:start w:val="1"/>
      <w:numFmt w:val="decimal"/>
      <w:lvlText w:val="%6."/>
      <w:lvlJc w:val="right"/>
      <w:pPr>
        <w:ind w:left="5040" w:firstLine="9720"/>
      </w:pPr>
      <w:rPr>
        <w:u w:val="none"/>
        <w:vertAlign w:val="baseline"/>
      </w:rPr>
    </w:lvl>
    <w:lvl w:ilvl="6">
      <w:start w:val="1"/>
      <w:numFmt w:val="lowerLetter"/>
      <w:lvlText w:val="%7."/>
      <w:lvlJc w:val="left"/>
      <w:pPr>
        <w:ind w:left="5760" w:firstLine="11160"/>
      </w:pPr>
      <w:rPr>
        <w:u w:val="none"/>
        <w:vertAlign w:val="baseline"/>
      </w:rPr>
    </w:lvl>
    <w:lvl w:ilvl="7">
      <w:start w:val="1"/>
      <w:numFmt w:val="lowerRoman"/>
      <w:lvlText w:val="%8."/>
      <w:lvlJc w:val="left"/>
      <w:pPr>
        <w:ind w:left="6480" w:firstLine="12600"/>
      </w:pPr>
      <w:rPr>
        <w:u w:val="none"/>
        <w:vertAlign w:val="baseline"/>
      </w:rPr>
    </w:lvl>
    <w:lvl w:ilvl="8">
      <w:start w:val="1"/>
      <w:numFmt w:val="decimal"/>
      <w:lvlText w:val="%9."/>
      <w:lvlJc w:val="right"/>
      <w:pPr>
        <w:ind w:left="7200" w:firstLine="14040"/>
      </w:pPr>
      <w:rPr>
        <w:u w:val="none"/>
        <w:vertAlign w:val="baseline"/>
      </w:rPr>
    </w:lvl>
  </w:abstractNum>
  <w:abstractNum w:abstractNumId="10">
    <w:nsid w:val="5F4D4A95"/>
    <w:multiLevelType w:val="multilevel"/>
    <w:tmpl w:val="0ADCDA1A"/>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1">
    <w:nsid w:val="5FC00EEB"/>
    <w:multiLevelType w:val="multilevel"/>
    <w:tmpl w:val="FDA8C472"/>
    <w:lvl w:ilvl="0">
      <w:start w:val="1"/>
      <w:numFmt w:val="upperLetter"/>
      <w:lvlText w:val="%1."/>
      <w:lvlJc w:val="left"/>
      <w:pPr>
        <w:ind w:left="720" w:firstLine="360"/>
      </w:pPr>
      <w:rPr>
        <w:rFonts w:ascii="Times New Roman" w:eastAsia="Times New Roman" w:hAnsi="Times New Roman" w:cs="Times New Roman"/>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50663A6"/>
    <w:multiLevelType w:val="multilevel"/>
    <w:tmpl w:val="28C44E6A"/>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6"/>
      <w:numFmt w:val="lowerRoman"/>
      <w:lvlText w:val="%3."/>
      <w:lvlJc w:val="right"/>
      <w:pPr>
        <w:ind w:left="3780" w:firstLine="3060"/>
      </w:pPr>
      <w:rPr>
        <w:rFonts w:ascii="Times New Roman" w:eastAsia="Times New Roman" w:hAnsi="Times New Roman" w:cs="Times New Roman"/>
        <w:b/>
        <w:sz w:val="28"/>
        <w:szCs w:val="28"/>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504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rFonts w:ascii="Times New Roman" w:eastAsia="Times New Roman" w:hAnsi="Times New Roman" w:cs="Times New Roman"/>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3">
    <w:nsid w:val="6DA52352"/>
    <w:multiLevelType w:val="multilevel"/>
    <w:tmpl w:val="6622851E"/>
    <w:lvl w:ilvl="0">
      <w:start w:val="1"/>
      <w:numFmt w:val="lowerRoman"/>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24"/>
      <w:numFmt w:val="decimal"/>
      <w:lvlText w:val="%4."/>
      <w:lvlJc w:val="left"/>
      <w:pPr>
        <w:ind w:left="2880" w:firstLine="2520"/>
      </w:pPr>
      <w:rPr>
        <w:vertAlign w:val="baseline"/>
      </w:rPr>
    </w:lvl>
    <w:lvl w:ilvl="4">
      <w:start w:val="6"/>
      <w:numFmt w:val="upperRoman"/>
      <w:lvlText w:val="%5."/>
      <w:lvlJc w:val="left"/>
      <w:pPr>
        <w:ind w:left="3960" w:firstLine="3240"/>
      </w:pPr>
      <w:rPr>
        <w:rFonts w:ascii="Times New Roman" w:eastAsia="Times New Roman" w:hAnsi="Times New Roman" w:cs="Times New Roman"/>
        <w:b/>
        <w:sz w:val="28"/>
        <w:szCs w:val="28"/>
        <w:vertAlign w:val="baseline"/>
      </w:rPr>
    </w:lvl>
    <w:lvl w:ilvl="5">
      <w:start w:val="1"/>
      <w:numFmt w:val="upperLetter"/>
      <w:lvlText w:val="%6."/>
      <w:lvlJc w:val="left"/>
      <w:pPr>
        <w:ind w:left="4500" w:firstLine="4140"/>
      </w:pPr>
      <w:rPr>
        <w:b/>
        <w:color w:val="FF0000"/>
        <w:sz w:val="28"/>
        <w:szCs w:val="28"/>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F2D45B3"/>
    <w:multiLevelType w:val="multilevel"/>
    <w:tmpl w:val="3AC4DCD0"/>
    <w:lvl w:ilvl="0">
      <w:start w:val="1"/>
      <w:numFmt w:val="lowerLetter"/>
      <w:lvlText w:val="%1."/>
      <w:lvlJc w:val="left"/>
      <w:pPr>
        <w:ind w:left="720" w:firstLine="1080"/>
      </w:pPr>
      <w:rPr>
        <w:rFonts w:ascii="Times New Roman" w:eastAsia="Times New Roman" w:hAnsi="Times New Roman" w:cs="Times New Roman"/>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num w:numId="1">
    <w:abstractNumId w:val="14"/>
  </w:num>
  <w:num w:numId="2">
    <w:abstractNumId w:val="9"/>
  </w:num>
  <w:num w:numId="3">
    <w:abstractNumId w:val="2"/>
  </w:num>
  <w:num w:numId="4">
    <w:abstractNumId w:val="8"/>
  </w:num>
  <w:num w:numId="5">
    <w:abstractNumId w:val="5"/>
  </w:num>
  <w:num w:numId="6">
    <w:abstractNumId w:val="10"/>
  </w:num>
  <w:num w:numId="7">
    <w:abstractNumId w:val="13"/>
  </w:num>
  <w:num w:numId="8">
    <w:abstractNumId w:val="0"/>
  </w:num>
  <w:num w:numId="9">
    <w:abstractNumId w:val="7"/>
  </w:num>
  <w:num w:numId="10">
    <w:abstractNumId w:val="12"/>
  </w:num>
  <w:num w:numId="11">
    <w:abstractNumId w:val="6"/>
  </w:num>
  <w:num w:numId="12">
    <w:abstractNumId w:val="3"/>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15F94"/>
    <w:rsid w:val="00123C6C"/>
    <w:rsid w:val="00D0352C"/>
    <w:rsid w:val="00D15F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 TargetMode="External"/><Relationship Id="rId3" Type="http://schemas.openxmlformats.org/officeDocument/2006/relationships/hyperlink" Target="http:///h" TargetMode="External"/><Relationship Id="rId7" Type="http://schemas.openxmlformats.org/officeDocument/2006/relationships/hyperlink" Target="http:///h" TargetMode="External"/><Relationship Id="rId2" Type="http://schemas.openxmlformats.org/officeDocument/2006/relationships/hyperlink" Target="http:///h" TargetMode="External"/><Relationship Id="rId1" Type="http://schemas.openxmlformats.org/officeDocument/2006/relationships/hyperlink" Target="https://sustainabledevelopment.un.org/content/documents/1972mggovernance.pdf" TargetMode="External"/><Relationship Id="rId6" Type="http://schemas.openxmlformats.org/officeDocument/2006/relationships/hyperlink" Target="http:///h" TargetMode="External"/><Relationship Id="rId5" Type="http://schemas.openxmlformats.org/officeDocument/2006/relationships/hyperlink" Target="http:///h" TargetMode="External"/><Relationship Id="rId10" Type="http://schemas.openxmlformats.org/officeDocument/2006/relationships/hyperlink" Target="http:///h" TargetMode="External"/><Relationship Id="rId4" Type="http://schemas.openxmlformats.org/officeDocument/2006/relationships/hyperlink" Target="http:///h" TargetMode="External"/><Relationship Id="rId9" Type="http://schemas.openxmlformats.org/officeDocument/2006/relationships/hyperlink" Target="http:///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5018</Words>
  <Characters>27603</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2016-02-29T16:14:00Z</dcterms:created>
  <dcterms:modified xsi:type="dcterms:W3CDTF">2016-02-29T16:14:00Z</dcterms:modified>
</cp:coreProperties>
</file>